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仿宋_GB2312" w:cs="Times New Roman"/>
          <w:b/>
          <w:sz w:val="72"/>
          <w:szCs w:val="72"/>
        </w:rPr>
      </w:pPr>
    </w:p>
    <w:p>
      <w:pPr>
        <w:spacing w:line="360" w:lineRule="auto"/>
        <w:jc w:val="center"/>
        <w:rPr>
          <w:rFonts w:ascii="Times New Roman" w:hAnsi="Times New Roman" w:eastAsia="仿宋_GB2312" w:cs="Times New Roman"/>
          <w:b/>
          <w:sz w:val="72"/>
          <w:szCs w:val="72"/>
        </w:rPr>
      </w:pPr>
    </w:p>
    <w:p>
      <w:pPr>
        <w:spacing w:line="360" w:lineRule="auto"/>
        <w:jc w:val="center"/>
        <w:rPr>
          <w:rFonts w:ascii="Times New Roman" w:hAnsi="Times New Roman" w:eastAsia="仿宋_GB2312" w:cs="Times New Roman"/>
          <w:b/>
          <w:sz w:val="72"/>
          <w:szCs w:val="72"/>
        </w:rPr>
      </w:pPr>
      <w:r>
        <w:rPr>
          <w:rFonts w:ascii="Times New Roman" w:hAnsi="Times New Roman" w:eastAsia="仿宋_GB2312" w:cs="Times New Roman"/>
          <w:b/>
          <w:sz w:val="72"/>
          <w:szCs w:val="72"/>
        </w:rPr>
        <w:t>不确定度评定报告</w:t>
      </w:r>
    </w:p>
    <w:p>
      <w:pPr>
        <w:spacing w:line="360" w:lineRule="auto"/>
        <w:jc w:val="center"/>
        <w:rPr>
          <w:rFonts w:ascii="Times New Roman" w:hAnsi="Times New Roman" w:eastAsia="楷体_GB2312" w:cs="Times New Roman"/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</w:rPr>
      </w:pPr>
    </w:p>
    <w:p>
      <w:pPr>
        <w:spacing w:line="360" w:lineRule="auto"/>
        <w:ind w:firstLine="1751" w:firstLineChars="545"/>
        <w:rPr>
          <w:rFonts w:ascii="Times New Roman" w:hAnsi="Times New Roman" w:eastAsia="楷体_GB2312" w:cs="Times New Roman"/>
          <w:sz w:val="28"/>
          <w:szCs w:val="28"/>
          <w:u w:val="single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 xml:space="preserve">项目名称: </w:t>
      </w:r>
      <w:r>
        <w:rPr>
          <w:rFonts w:ascii="Times New Roman" w:hAnsi="Times New Roman" w:eastAsia="楷体_GB2312" w:cs="Times New Roman"/>
          <w:sz w:val="28"/>
          <w:szCs w:val="28"/>
          <w:u w:val="single"/>
        </w:rPr>
        <w:t>注射用水pH值测定结果的不确定度评定</w:t>
      </w:r>
    </w:p>
    <w:p>
      <w:pPr>
        <w:spacing w:line="360" w:lineRule="auto"/>
        <w:ind w:left="3179" w:leftChars="747" w:hanging="1386" w:hangingChars="495"/>
        <w:jc w:val="center"/>
        <w:rPr>
          <w:rFonts w:ascii="Times New Roman" w:hAnsi="Times New Roman" w:eastAsia="楷体_GB2312" w:cs="Times New Roman"/>
          <w:sz w:val="28"/>
          <w:szCs w:val="28"/>
          <w:u w:val="single"/>
        </w:rPr>
      </w:pPr>
    </w:p>
    <w:p>
      <w:pPr>
        <w:spacing w:line="360" w:lineRule="auto"/>
        <w:ind w:firstLine="1828" w:firstLineChars="569"/>
        <w:rPr>
          <w:rFonts w:ascii="Times New Roman" w:hAnsi="Times New Roman" w:eastAsia="楷体_GB2312" w:cs="Times New Roman"/>
          <w:sz w:val="28"/>
          <w:szCs w:val="28"/>
          <w:u w:val="single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评定单位:</w:t>
      </w:r>
      <w:r>
        <w:rPr>
          <w:rFonts w:ascii="Times New Roman" w:hAnsi="Times New Roman" w:eastAsia="楷体_GB2312" w:cs="Times New Roman"/>
          <w:sz w:val="28"/>
          <w:szCs w:val="28"/>
          <w:u w:val="single"/>
        </w:rPr>
        <w:t>扬子江药业集团</w:t>
      </w:r>
      <w:r>
        <w:rPr>
          <w:rFonts w:hint="eastAsia" w:ascii="Times New Roman" w:hAnsi="Times New Roman" w:eastAsia="楷体_GB2312" w:cs="Times New Roman"/>
          <w:sz w:val="28"/>
          <w:szCs w:val="28"/>
          <w:u w:val="single"/>
        </w:rPr>
        <w:t>江苏海岸药业有限公司</w:t>
      </w:r>
    </w:p>
    <w:p>
      <w:pPr>
        <w:spacing w:line="360" w:lineRule="auto"/>
        <w:jc w:val="center"/>
        <w:rPr>
          <w:rFonts w:ascii="Times New Roman" w:hAnsi="Times New Roman" w:eastAsia="楷体_GB2312" w:cs="Times New Roman"/>
          <w:sz w:val="28"/>
          <w:szCs w:val="28"/>
          <w:u w:val="single"/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</w:rPr>
      </w:pPr>
    </w:p>
    <w:p>
      <w:pPr>
        <w:spacing w:line="360" w:lineRule="auto"/>
        <w:rPr>
          <w:rFonts w:ascii="Times New Roman" w:hAnsi="Times New Roman" w:eastAsia="楷体_GB2312" w:cs="Times New Roman"/>
          <w:sz w:val="28"/>
          <w:szCs w:val="28"/>
          <w:u w:val="single"/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  <w:sz w:val="28"/>
          <w:szCs w:val="28"/>
          <w:u w:val="single"/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  <w:sz w:val="28"/>
          <w:szCs w:val="28"/>
          <w:u w:val="single"/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  <w:sz w:val="28"/>
          <w:szCs w:val="28"/>
          <w:u w:val="single"/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  <w:sz w:val="28"/>
          <w:szCs w:val="28"/>
          <w:u w:val="single"/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  <w:sz w:val="28"/>
          <w:szCs w:val="28"/>
          <w:u w:val="single"/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  <w:b/>
          <w:sz w:val="32"/>
          <w:szCs w:val="32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注射用水pH值测定结果概述</w:t>
      </w:r>
    </w:p>
    <w:p>
      <w:pPr>
        <w:spacing w:line="360" w:lineRule="auto"/>
        <w:jc w:val="center"/>
        <w:rPr>
          <w:rFonts w:ascii="Times New Roman" w:hAnsi="Times New Roman" w:eastAsia="楷体_GB2312" w:cs="Times New Roman"/>
          <w:b/>
          <w:sz w:val="32"/>
          <w:szCs w:val="32"/>
        </w:rPr>
      </w:pPr>
    </w:p>
    <w:p>
      <w:pPr>
        <w:spacing w:line="360" w:lineRule="auto"/>
        <w:ind w:firstLine="600" w:firstLineChars="200"/>
        <w:rPr>
          <w:rFonts w:ascii="Times New Roman" w:hAnsi="Times New Roman" w:eastAsia="楷体_GB2312" w:cs="Times New Roman"/>
          <w:sz w:val="30"/>
          <w:szCs w:val="30"/>
          <w:lang w:val="zh-CN"/>
        </w:rPr>
      </w:pPr>
      <w:r>
        <w:rPr>
          <w:rFonts w:ascii="Times New Roman" w:hAnsi="Times New Roman" w:eastAsia="楷体_GB2312" w:cs="Times New Roman"/>
          <w:sz w:val="30"/>
          <w:szCs w:val="30"/>
          <w:lang w:val="zh-CN"/>
        </w:rPr>
        <w:t>根据</w:t>
      </w:r>
      <w:r>
        <w:rPr>
          <w:rFonts w:ascii="Times New Roman" w:hAnsi="Times New Roman" w:eastAsia="楷体_GB2312" w:cs="Times New Roman"/>
          <w:sz w:val="30"/>
          <w:szCs w:val="30"/>
        </w:rPr>
        <w:t>CNAS-CL01:2006</w:t>
      </w:r>
      <w:r>
        <w:rPr>
          <w:rFonts w:ascii="Times New Roman" w:hAnsi="Times New Roman" w:eastAsia="楷体_GB2312" w:cs="Times New Roman"/>
          <w:sz w:val="30"/>
          <w:szCs w:val="30"/>
          <w:lang w:val="zh-CN"/>
        </w:rPr>
        <w:t>《检测和校准实验室能力认可准则》及ISO 10012：2003《测量管理体系—测量过程和测量设备的要求》，检测和校准实验室都必须具有评定测量不确定度的程序和能力。本文针对注射用水pH值测定结果的不确定度中不确定度的来源进行了分析，并根据JJF1059.1-2012《测量不确定度评定与表示》计量技术规范，对注射用水pH值测定结果进行了不确定度的评定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rPr>
          <w:rFonts w:ascii="Times New Roman" w:hAnsi="Times New Roman" w:eastAsia="楷体_GB2312" w:cs="Times New Roman"/>
          <w:szCs w:val="28"/>
        </w:rPr>
        <w:sectPr>
          <w:headerReference r:id="rId3" w:type="default"/>
          <w:footerReference r:id="rId4" w:type="default"/>
          <w:pgSz w:w="12240" w:h="15840"/>
          <w:pgMar w:top="1418" w:right="1134" w:bottom="1418" w:left="1418" w:header="850" w:footer="454" w:gutter="0"/>
          <w:cols w:space="720" w:num="1"/>
          <w:docGrid w:linePitch="326" w:charSpace="0"/>
        </w:sect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  <w:b/>
          <w:sz w:val="32"/>
          <w:szCs w:val="32"/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  <w:b/>
          <w:sz w:val="32"/>
          <w:szCs w:val="32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注射用水pH值测定结果的不确定度评定</w:t>
      </w:r>
    </w:p>
    <w:p>
      <w:pPr>
        <w:spacing w:line="360" w:lineRule="auto"/>
        <w:jc w:val="center"/>
        <w:rPr>
          <w:rFonts w:ascii="Times New Roman" w:hAnsi="Times New Roman" w:eastAsia="楷体_GB2312" w:cs="Times New Roman"/>
          <w:b/>
          <w:sz w:val="32"/>
          <w:szCs w:val="32"/>
        </w:rPr>
      </w:pPr>
    </w:p>
    <w:p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cs="Times New Roman" w:hAnsiTheme="minorEastAsia" w:eastAsiaTheme="minorEastAsia"/>
          <w:b/>
          <w:sz w:val="28"/>
          <w:szCs w:val="28"/>
          <w:lang w:val="zh-CN"/>
        </w:rPr>
        <w:t>一</w:t>
      </w:r>
      <w:r>
        <w:rPr>
          <w:rFonts w:ascii="Times New Roman" w:hAnsi="Times New Roman" w:cs="Times New Roman" w:eastAsiaTheme="minorEastAsia"/>
          <w:b/>
          <w:sz w:val="28"/>
          <w:szCs w:val="28"/>
          <w:lang w:val="zh-CN"/>
        </w:rPr>
        <w:t>.</w:t>
      </w:r>
      <w:r>
        <w:rPr>
          <w:rFonts w:ascii="Times New Roman" w:cs="Times New Roman" w:hAnsiTheme="minorEastAsia" w:eastAsiaTheme="minorEastAsia"/>
          <w:b/>
          <w:sz w:val="28"/>
          <w:szCs w:val="28"/>
          <w:lang w:val="zh-CN"/>
        </w:rPr>
        <w:t>目的</w:t>
      </w:r>
    </w:p>
    <w:p>
      <w:pPr>
        <w:autoSpaceDE w:val="0"/>
        <w:autoSpaceDN w:val="0"/>
        <w:adjustRightInd w:val="0"/>
        <w:spacing w:line="360" w:lineRule="auto"/>
        <w:ind w:firstLine="516" w:firstLineChars="215"/>
        <w:rPr>
          <w:rFonts w:ascii="Times New Roman" w:hAnsi="Times New Roman" w:eastAsia="楷体_GB2312" w:cs="Times New Roman"/>
          <w:lang w:val="zh-CN"/>
        </w:rPr>
      </w:pPr>
      <w:r>
        <w:rPr>
          <w:rFonts w:ascii="Times New Roman" w:hAnsi="Times New Roman" w:eastAsia="楷体_GB2312" w:cs="Times New Roman"/>
          <w:lang w:val="zh-CN"/>
        </w:rPr>
        <w:t>评定注射用水pH值测定结果的不确定度。</w:t>
      </w:r>
    </w:p>
    <w:p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cs="Times New Roman" w:hAnsiTheme="minorEastAsia" w:eastAsiaTheme="minorEastAsia"/>
          <w:b/>
          <w:sz w:val="28"/>
          <w:szCs w:val="28"/>
          <w:lang w:val="zh-CN"/>
        </w:rPr>
        <w:t>二</w:t>
      </w:r>
      <w:r>
        <w:rPr>
          <w:rFonts w:ascii="Times New Roman" w:hAnsi="Times New Roman" w:cs="Times New Roman" w:eastAsiaTheme="minorEastAsia"/>
          <w:b/>
          <w:sz w:val="28"/>
          <w:szCs w:val="28"/>
          <w:lang w:val="zh-CN"/>
        </w:rPr>
        <w:t>.</w:t>
      </w:r>
      <w:r>
        <w:rPr>
          <w:rFonts w:ascii="Times New Roman" w:cs="Times New Roman" w:hAnsiTheme="minorEastAsia" w:eastAsiaTheme="minorEastAsia"/>
          <w:b/>
          <w:sz w:val="28"/>
          <w:szCs w:val="28"/>
          <w:lang w:val="zh-CN"/>
        </w:rPr>
        <w:t>测量程序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rPr>
          <w:rFonts w:ascii="Times New Roman" w:hAnsi="Times New Roman" w:eastAsia="楷体_GB2312"/>
          <w:sz w:val="24"/>
          <w:szCs w:val="24"/>
          <w:lang w:val="zh-CN"/>
        </w:rPr>
      </w:pPr>
      <w:r>
        <w:rPr>
          <w:rFonts w:ascii="Times New Roman" w:hAnsi="Times New Roman" w:eastAsia="楷体_GB2312"/>
          <w:sz w:val="24"/>
          <w:szCs w:val="24"/>
          <w:lang w:val="zh-CN"/>
        </w:rPr>
        <w:t>环境条件：温度（18~2</w:t>
      </w:r>
      <w:r>
        <w:rPr>
          <w:rFonts w:hint="eastAsia" w:ascii="Times New Roman" w:hAnsi="Times New Roman" w:eastAsia="楷体_GB2312"/>
          <w:sz w:val="24"/>
          <w:szCs w:val="24"/>
          <w:lang w:val="zh-CN"/>
        </w:rPr>
        <w:t>5</w:t>
      </w:r>
      <w:r>
        <w:rPr>
          <w:rFonts w:ascii="Times New Roman" w:hAnsi="Times New Roman" w:eastAsia="楷体_GB2312"/>
          <w:sz w:val="24"/>
          <w:szCs w:val="24"/>
          <w:lang w:val="zh-CN"/>
        </w:rPr>
        <w:t>）℃  湿度：（45~65）%</w:t>
      </w:r>
      <w:bookmarkStart w:id="0" w:name="_GoBack"/>
      <w:bookmarkEnd w:id="0"/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rPr>
          <w:rFonts w:ascii="Times New Roman" w:hAnsi="Times New Roman" w:eastAsia="楷体_GB2312"/>
          <w:sz w:val="24"/>
          <w:szCs w:val="24"/>
          <w:lang w:val="zh-CN"/>
        </w:rPr>
      </w:pPr>
      <w:r>
        <w:rPr>
          <w:rFonts w:ascii="Times New Roman" w:hAnsi="Times New Roman" w:eastAsia="楷体_GB2312"/>
          <w:sz w:val="24"/>
          <w:szCs w:val="24"/>
          <w:lang w:val="zh-CN"/>
        </w:rPr>
        <w:t>测量设备</w:t>
      </w:r>
    </w:p>
    <w:tbl>
      <w:tblPr>
        <w:tblStyle w:val="10"/>
        <w:tblW w:w="0" w:type="auto"/>
        <w:tblInd w:w="80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1281"/>
        <w:gridCol w:w="1560"/>
        <w:gridCol w:w="1270"/>
        <w:gridCol w:w="1559"/>
        <w:gridCol w:w="992"/>
        <w:gridCol w:w="114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287" w:type="dxa"/>
            <w:vAlign w:val="center"/>
          </w:tcPr>
          <w:p>
            <w:pPr>
              <w:pStyle w:val="14"/>
              <w:autoSpaceDE w:val="0"/>
              <w:autoSpaceDN w:val="0"/>
              <w:adjustRightInd w:val="0"/>
              <w:ind w:firstLine="0" w:firstLineChars="0"/>
              <w:jc w:val="center"/>
              <w:rPr>
                <w:rFonts w:ascii="Times New Roman" w:hAnsi="Times New Roman" w:eastAsia="楷体_GB2312"/>
                <w:sz w:val="24"/>
                <w:szCs w:val="24"/>
                <w:lang w:val="zh-CN"/>
              </w:rPr>
            </w:pPr>
            <w:r>
              <w:rPr>
                <w:rFonts w:ascii="Times New Roman" w:hAnsi="Times New Roman" w:eastAsia="楷体_GB2312"/>
                <w:sz w:val="24"/>
                <w:szCs w:val="24"/>
                <w:lang w:val="zh-CN"/>
              </w:rPr>
              <w:t>名称</w:t>
            </w:r>
          </w:p>
        </w:tc>
        <w:tc>
          <w:tcPr>
            <w:tcW w:w="1281" w:type="dxa"/>
            <w:vAlign w:val="center"/>
          </w:tcPr>
          <w:p>
            <w:pPr>
              <w:pStyle w:val="14"/>
              <w:autoSpaceDE w:val="0"/>
              <w:autoSpaceDN w:val="0"/>
              <w:adjustRightInd w:val="0"/>
              <w:ind w:firstLine="0" w:firstLineChars="0"/>
              <w:jc w:val="center"/>
              <w:rPr>
                <w:rFonts w:ascii="Times New Roman" w:hAnsi="Times New Roman" w:eastAsia="楷体_GB2312"/>
                <w:sz w:val="24"/>
                <w:szCs w:val="24"/>
                <w:lang w:val="zh-CN"/>
              </w:rPr>
            </w:pPr>
            <w:r>
              <w:rPr>
                <w:rFonts w:ascii="Times New Roman" w:hAnsi="Times New Roman" w:eastAsia="楷体_GB2312"/>
                <w:sz w:val="24"/>
                <w:szCs w:val="24"/>
                <w:lang w:val="zh-CN"/>
              </w:rPr>
              <w:t>规格型号</w:t>
            </w:r>
          </w:p>
        </w:tc>
        <w:tc>
          <w:tcPr>
            <w:tcW w:w="1560" w:type="dxa"/>
            <w:vAlign w:val="center"/>
          </w:tcPr>
          <w:p>
            <w:pPr>
              <w:pStyle w:val="14"/>
              <w:autoSpaceDE w:val="0"/>
              <w:autoSpaceDN w:val="0"/>
              <w:adjustRightInd w:val="0"/>
              <w:ind w:firstLine="0" w:firstLineChars="0"/>
              <w:jc w:val="center"/>
              <w:rPr>
                <w:rFonts w:ascii="Times New Roman" w:hAnsi="Times New Roman" w:eastAsia="楷体_GB2312"/>
                <w:sz w:val="24"/>
                <w:szCs w:val="24"/>
                <w:lang w:val="zh-CN"/>
              </w:rPr>
            </w:pPr>
            <w:r>
              <w:rPr>
                <w:rFonts w:ascii="Times New Roman" w:hAnsi="Times New Roman" w:eastAsia="楷体_GB2312"/>
                <w:sz w:val="24"/>
                <w:szCs w:val="24"/>
                <w:lang w:val="zh-CN"/>
              </w:rPr>
              <w:t>出厂编号</w:t>
            </w:r>
          </w:p>
        </w:tc>
        <w:tc>
          <w:tcPr>
            <w:tcW w:w="1270" w:type="dxa"/>
            <w:vAlign w:val="center"/>
          </w:tcPr>
          <w:p>
            <w:pPr>
              <w:pStyle w:val="14"/>
              <w:autoSpaceDE w:val="0"/>
              <w:autoSpaceDN w:val="0"/>
              <w:adjustRightInd w:val="0"/>
              <w:ind w:firstLine="0" w:firstLineChars="0"/>
              <w:jc w:val="center"/>
              <w:rPr>
                <w:rFonts w:ascii="Times New Roman" w:hAnsi="Times New Roman" w:eastAsia="楷体_GB2312"/>
                <w:sz w:val="24"/>
                <w:szCs w:val="24"/>
                <w:lang w:val="zh-CN"/>
              </w:rPr>
            </w:pPr>
            <w:r>
              <w:rPr>
                <w:rFonts w:ascii="Times New Roman" w:hAnsi="Times New Roman" w:eastAsia="楷体_GB2312"/>
                <w:sz w:val="24"/>
                <w:szCs w:val="24"/>
                <w:lang w:val="zh-CN"/>
              </w:rPr>
              <w:t>设备编号</w:t>
            </w:r>
          </w:p>
        </w:tc>
        <w:tc>
          <w:tcPr>
            <w:tcW w:w="1559" w:type="dxa"/>
            <w:vAlign w:val="center"/>
          </w:tcPr>
          <w:p>
            <w:pPr>
              <w:pStyle w:val="14"/>
              <w:autoSpaceDE w:val="0"/>
              <w:autoSpaceDN w:val="0"/>
              <w:adjustRightInd w:val="0"/>
              <w:ind w:firstLine="0" w:firstLineChars="0"/>
              <w:jc w:val="center"/>
              <w:rPr>
                <w:rFonts w:ascii="Times New Roman" w:hAnsi="Times New Roman" w:eastAsia="楷体_GB2312"/>
                <w:sz w:val="24"/>
                <w:szCs w:val="24"/>
                <w:lang w:val="zh-CN"/>
              </w:rPr>
            </w:pPr>
            <w:r>
              <w:rPr>
                <w:rFonts w:ascii="Times New Roman" w:hAnsi="Times New Roman" w:eastAsia="楷体_GB2312"/>
                <w:sz w:val="24"/>
                <w:szCs w:val="24"/>
                <w:lang w:val="zh-CN"/>
              </w:rPr>
              <w:t>量程</w:t>
            </w:r>
          </w:p>
        </w:tc>
        <w:tc>
          <w:tcPr>
            <w:tcW w:w="992" w:type="dxa"/>
            <w:vAlign w:val="center"/>
          </w:tcPr>
          <w:p>
            <w:pPr>
              <w:pStyle w:val="14"/>
              <w:autoSpaceDE w:val="0"/>
              <w:autoSpaceDN w:val="0"/>
              <w:adjustRightInd w:val="0"/>
              <w:ind w:firstLine="0" w:firstLineChars="0"/>
              <w:jc w:val="center"/>
              <w:rPr>
                <w:rFonts w:ascii="Times New Roman" w:hAnsi="Times New Roman" w:eastAsia="楷体_GB2312"/>
                <w:sz w:val="24"/>
                <w:szCs w:val="24"/>
                <w:lang w:val="zh-CN"/>
              </w:rPr>
            </w:pPr>
            <w:r>
              <w:rPr>
                <w:rFonts w:ascii="Times New Roman" w:hAnsi="Times New Roman" w:eastAsia="楷体_GB2312"/>
                <w:sz w:val="24"/>
                <w:szCs w:val="24"/>
                <w:lang w:val="zh-CN"/>
              </w:rPr>
              <w:t>等级</w:t>
            </w:r>
          </w:p>
        </w:tc>
        <w:tc>
          <w:tcPr>
            <w:tcW w:w="1149" w:type="dxa"/>
            <w:vAlign w:val="center"/>
          </w:tcPr>
          <w:p>
            <w:pPr>
              <w:pStyle w:val="14"/>
              <w:autoSpaceDE w:val="0"/>
              <w:autoSpaceDN w:val="0"/>
              <w:adjustRightInd w:val="0"/>
              <w:ind w:firstLine="0" w:firstLineChars="0"/>
              <w:jc w:val="center"/>
              <w:rPr>
                <w:rFonts w:ascii="Times New Roman" w:hAnsi="Times New Roman" w:eastAsia="楷体_GB2312"/>
                <w:sz w:val="24"/>
                <w:szCs w:val="24"/>
                <w:lang w:val="zh-CN"/>
              </w:rPr>
            </w:pPr>
            <w:r>
              <w:rPr>
                <w:rFonts w:ascii="Times New Roman" w:hAnsi="Times New Roman" w:eastAsia="楷体_GB2312"/>
                <w:sz w:val="24"/>
                <w:szCs w:val="24"/>
                <w:lang w:val="zh-CN"/>
              </w:rPr>
              <w:t>分辨力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87" w:type="dxa"/>
            <w:vAlign w:val="center"/>
          </w:tcPr>
          <w:p>
            <w:pPr>
              <w:pStyle w:val="14"/>
              <w:autoSpaceDE w:val="0"/>
              <w:autoSpaceDN w:val="0"/>
              <w:adjustRightInd w:val="0"/>
              <w:ind w:firstLine="0" w:firstLineChars="0"/>
              <w:jc w:val="center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楷体_GB2312" w:cs="Times New Roman"/>
                <w:sz w:val="24"/>
                <w:szCs w:val="24"/>
                <w:lang w:val="zh-CN"/>
              </w:rPr>
              <w:t>pH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  <w:lang w:val="zh-CN"/>
              </w:rPr>
              <w:t>测定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4"/>
                <w:lang w:val="en-US" w:eastAsia="zh-CN"/>
              </w:rPr>
              <w:t>仪</w:t>
            </w:r>
          </w:p>
        </w:tc>
        <w:tc>
          <w:tcPr>
            <w:tcW w:w="1281" w:type="dxa"/>
            <w:vAlign w:val="center"/>
          </w:tcPr>
          <w:p>
            <w:pPr>
              <w:pStyle w:val="14"/>
              <w:autoSpaceDE w:val="0"/>
              <w:autoSpaceDN w:val="0"/>
              <w:adjustRightInd w:val="0"/>
              <w:ind w:firstLine="0" w:firstLineChars="0"/>
              <w:jc w:val="center"/>
              <w:rPr>
                <w:rFonts w:ascii="Times New Roman" w:hAnsi="Times New Roman" w:eastAsia="楷体_GB2312"/>
                <w:sz w:val="24"/>
                <w:szCs w:val="24"/>
                <w:lang w:val="zh-CN"/>
              </w:rPr>
            </w:pPr>
            <w:r>
              <w:rPr>
                <w:rFonts w:ascii="Times New Roman" w:hAnsi="Times New Roman" w:eastAsia="楷体_GB2312"/>
                <w:sz w:val="24"/>
                <w:szCs w:val="24"/>
                <w:lang w:val="zh-CN"/>
              </w:rPr>
              <w:t>SEVEN EASY</w:t>
            </w:r>
          </w:p>
        </w:tc>
        <w:tc>
          <w:tcPr>
            <w:tcW w:w="1560" w:type="dxa"/>
            <w:vAlign w:val="center"/>
          </w:tcPr>
          <w:p>
            <w:pPr>
              <w:pStyle w:val="14"/>
              <w:autoSpaceDE w:val="0"/>
              <w:autoSpaceDN w:val="0"/>
              <w:adjustRightInd w:val="0"/>
              <w:ind w:firstLine="0" w:firstLineChars="0"/>
              <w:jc w:val="center"/>
              <w:rPr>
                <w:rFonts w:ascii="Times New Roman" w:hAnsi="Times New Roman" w:eastAsia="楷体_GB2312"/>
                <w:sz w:val="24"/>
                <w:szCs w:val="24"/>
                <w:lang w:val="zh-CN"/>
              </w:rPr>
            </w:pPr>
            <w:r>
              <w:rPr>
                <w:rFonts w:ascii="Times New Roman" w:hAnsi="Times New Roman" w:eastAsia="楷体_GB2312"/>
                <w:sz w:val="24"/>
                <w:szCs w:val="24"/>
                <w:lang w:val="zh-CN"/>
              </w:rPr>
              <w:t>1229485148</w:t>
            </w:r>
          </w:p>
        </w:tc>
        <w:tc>
          <w:tcPr>
            <w:tcW w:w="1270" w:type="dxa"/>
            <w:vAlign w:val="center"/>
          </w:tcPr>
          <w:p>
            <w:pPr>
              <w:pStyle w:val="14"/>
              <w:autoSpaceDE w:val="0"/>
              <w:autoSpaceDN w:val="0"/>
              <w:adjustRightInd w:val="0"/>
              <w:ind w:firstLine="0" w:firstLineChars="0"/>
              <w:jc w:val="center"/>
              <w:rPr>
                <w:rFonts w:ascii="Times New Roman" w:hAnsi="Times New Roman" w:eastAsia="楷体_GB2312"/>
                <w:sz w:val="24"/>
                <w:szCs w:val="24"/>
                <w:lang w:val="zh-CN"/>
              </w:rPr>
            </w:pPr>
            <w:r>
              <w:rPr>
                <w:rFonts w:ascii="Times New Roman" w:hAnsi="Times New Roman" w:eastAsia="楷体_GB2312"/>
                <w:sz w:val="24"/>
                <w:szCs w:val="24"/>
                <w:lang w:val="zh-CN"/>
              </w:rPr>
              <w:t>WH-084</w:t>
            </w:r>
          </w:p>
        </w:tc>
        <w:tc>
          <w:tcPr>
            <w:tcW w:w="1559" w:type="dxa"/>
            <w:vAlign w:val="center"/>
          </w:tcPr>
          <w:p>
            <w:pPr>
              <w:pStyle w:val="14"/>
              <w:autoSpaceDE w:val="0"/>
              <w:autoSpaceDN w:val="0"/>
              <w:adjustRightInd w:val="0"/>
              <w:ind w:firstLine="0" w:firstLineChars="0"/>
              <w:jc w:val="center"/>
              <w:rPr>
                <w:rFonts w:ascii="Times New Roman" w:hAnsi="Times New Roman" w:eastAsia="楷体_GB2312"/>
                <w:sz w:val="24"/>
                <w:szCs w:val="24"/>
                <w:lang w:val="zh-CN"/>
              </w:rPr>
            </w:pPr>
            <w:r>
              <w:rPr>
                <w:rFonts w:ascii="Times New Roman" w:hAnsi="Times New Roman" w:eastAsia="楷体_GB2312"/>
                <w:sz w:val="24"/>
                <w:szCs w:val="24"/>
                <w:lang w:val="zh-CN"/>
              </w:rPr>
              <w:t>0～14</w:t>
            </w:r>
          </w:p>
        </w:tc>
        <w:tc>
          <w:tcPr>
            <w:tcW w:w="992" w:type="dxa"/>
            <w:vAlign w:val="center"/>
          </w:tcPr>
          <w:p>
            <w:pPr>
              <w:pStyle w:val="14"/>
              <w:autoSpaceDE w:val="0"/>
              <w:autoSpaceDN w:val="0"/>
              <w:adjustRightInd w:val="0"/>
              <w:ind w:firstLine="0" w:firstLineChars="0"/>
              <w:jc w:val="center"/>
              <w:rPr>
                <w:rFonts w:ascii="Times New Roman" w:hAnsi="Times New Roman" w:eastAsia="楷体_GB2312"/>
                <w:sz w:val="24"/>
                <w:szCs w:val="24"/>
                <w:lang w:val="zh-CN"/>
              </w:rPr>
            </w:pPr>
            <w:r>
              <w:rPr>
                <w:rFonts w:ascii="Times New Roman" w:hAnsi="Times New Roman" w:eastAsia="楷体_GB2312"/>
                <w:sz w:val="24"/>
                <w:szCs w:val="24"/>
                <w:lang w:val="zh-CN"/>
              </w:rPr>
              <w:t>0.01级</w:t>
            </w: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pStyle w:val="14"/>
              <w:autoSpaceDE w:val="0"/>
              <w:autoSpaceDN w:val="0"/>
              <w:adjustRightInd w:val="0"/>
              <w:ind w:firstLine="0" w:firstLineChars="0"/>
              <w:jc w:val="center"/>
              <w:rPr>
                <w:rFonts w:ascii="Times New Roman" w:hAnsi="Times New Roman" w:eastAsia="楷体_GB2312"/>
                <w:sz w:val="24"/>
                <w:szCs w:val="24"/>
                <w:lang w:val="zh-CN"/>
              </w:rPr>
            </w:pPr>
            <w:r>
              <w:rPr>
                <w:rFonts w:ascii="Times New Roman" w:hAnsi="Times New Roman" w:eastAsia="楷体_GB2312"/>
                <w:sz w:val="24"/>
                <w:szCs w:val="24"/>
                <w:lang w:val="zh-CN"/>
              </w:rPr>
              <w:t>0.01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Times New Roman" w:hAnsi="Times New Roman" w:eastAsia="楷体_GB2312" w:cs="Times New Roman"/>
          <w:lang w:val="zh-CN"/>
        </w:rPr>
      </w:pPr>
      <w:r>
        <w:rPr>
          <w:rFonts w:ascii="Times New Roman" w:hAnsi="Times New Roman" w:eastAsia="楷体_GB2312" w:cs="Times New Roman"/>
          <w:lang w:val="zh-CN"/>
        </w:rPr>
        <w:t>3、测量方法</w:t>
      </w:r>
    </w:p>
    <w:p>
      <w:pPr>
        <w:pStyle w:val="14"/>
        <w:autoSpaceDE w:val="0"/>
        <w:autoSpaceDN w:val="0"/>
        <w:adjustRightInd w:val="0"/>
        <w:spacing w:line="360" w:lineRule="auto"/>
        <w:ind w:left="806" w:firstLine="0" w:firstLineChars="0"/>
        <w:rPr>
          <w:rFonts w:ascii="Times New Roman" w:hAnsi="Times New Roman" w:eastAsia="楷体_GB2312"/>
          <w:sz w:val="24"/>
          <w:szCs w:val="24"/>
        </w:rPr>
      </w:pPr>
      <w:r>
        <w:rPr>
          <w:rFonts w:hint="eastAsia" w:ascii="Times New Roman" w:hAnsi="Times New Roman" w:eastAsia="楷体_GB2312"/>
          <w:sz w:val="24"/>
          <w:szCs w:val="24"/>
        </w:rPr>
        <w:t>根据5-030005《制药</w:t>
      </w:r>
      <w:r>
        <w:rPr>
          <w:rFonts w:ascii="Times New Roman" w:hAnsi="Times New Roman" w:eastAsia="楷体_GB2312"/>
          <w:sz w:val="24"/>
          <w:szCs w:val="24"/>
        </w:rPr>
        <w:t>用水系统水质检测管理规程》</w:t>
      </w:r>
      <w:r>
        <w:rPr>
          <w:rFonts w:hint="eastAsia" w:ascii="Times New Roman" w:hAnsi="Times New Roman" w:eastAsia="楷体_GB2312"/>
          <w:sz w:val="24"/>
          <w:szCs w:val="24"/>
        </w:rPr>
        <w:t>要求</w:t>
      </w:r>
      <w:r>
        <w:rPr>
          <w:rFonts w:ascii="Times New Roman" w:hAnsi="Times New Roman" w:eastAsia="楷体_GB2312"/>
          <w:sz w:val="24"/>
          <w:szCs w:val="24"/>
        </w:rPr>
        <w:t>，注射用水的pH</w:t>
      </w:r>
      <w:r>
        <w:rPr>
          <w:rFonts w:hint="eastAsia" w:ascii="Times New Roman" w:hAnsi="Times New Roman" w:eastAsia="楷体_GB2312"/>
          <w:sz w:val="24"/>
          <w:szCs w:val="24"/>
        </w:rPr>
        <w:t>值</w:t>
      </w:r>
      <w:r>
        <w:rPr>
          <w:rFonts w:ascii="Times New Roman" w:hAnsi="Times New Roman" w:eastAsia="楷体_GB2312"/>
          <w:sz w:val="24"/>
          <w:szCs w:val="24"/>
        </w:rPr>
        <w:t>需控制在</w:t>
      </w:r>
    </w:p>
    <w:p>
      <w:pPr>
        <w:pStyle w:val="14"/>
        <w:autoSpaceDE w:val="0"/>
        <w:autoSpaceDN w:val="0"/>
        <w:adjustRightInd w:val="0"/>
        <w:spacing w:line="360" w:lineRule="auto"/>
        <w:ind w:left="806" w:firstLine="0" w:firstLineChars="0"/>
        <w:rPr>
          <w:rFonts w:ascii="Times New Roman" w:hAnsi="Times New Roman" w:eastAsia="楷体_GB2312"/>
          <w:sz w:val="24"/>
          <w:szCs w:val="24"/>
        </w:rPr>
      </w:pPr>
      <w:r>
        <w:rPr>
          <w:rFonts w:hint="eastAsia" w:ascii="Times New Roman" w:hAnsi="Times New Roman" w:eastAsia="楷体_GB231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楷体_GB2312"/>
          <w:sz w:val="24"/>
          <w:szCs w:val="24"/>
          <w:lang w:val="en-US" w:eastAsia="zh-CN"/>
        </w:rPr>
        <w:t>6±1</w:t>
      </w:r>
      <w:r>
        <w:rPr>
          <w:rFonts w:hint="eastAsia" w:ascii="Times New Roman" w:hAnsi="Times New Roman" w:eastAsia="楷体_GB2312"/>
          <w:sz w:val="24"/>
          <w:szCs w:val="24"/>
          <w:lang w:eastAsia="zh-CN"/>
        </w:rPr>
        <w:t>）</w:t>
      </w:r>
      <w:r>
        <w:rPr>
          <w:rFonts w:ascii="Times New Roman" w:hAnsi="Times New Roman" w:eastAsia="楷体_GB2312"/>
          <w:sz w:val="24"/>
          <w:szCs w:val="24"/>
        </w:rPr>
        <w:t>pH</w:t>
      </w:r>
      <w:r>
        <w:rPr>
          <w:rFonts w:hint="eastAsia" w:ascii="Times New Roman" w:hAnsi="Times New Roman" w:eastAsia="楷体_GB2312"/>
          <w:sz w:val="24"/>
          <w:szCs w:val="24"/>
        </w:rPr>
        <w:t>范围内</w:t>
      </w:r>
      <w:r>
        <w:rPr>
          <w:rFonts w:ascii="Times New Roman" w:hAnsi="Times New Roman" w:eastAsia="楷体_GB2312"/>
          <w:sz w:val="24"/>
          <w:szCs w:val="24"/>
        </w:rPr>
        <w:t>。</w:t>
      </w:r>
      <w:r>
        <w:rPr>
          <w:rFonts w:hint="eastAsia" w:ascii="Times New Roman" w:hAnsi="Times New Roman" w:eastAsia="楷体_GB2312"/>
          <w:sz w:val="24"/>
          <w:szCs w:val="24"/>
        </w:rPr>
        <w:t>按照SOP《大、小容量注射剂</w:t>
      </w:r>
      <w:r>
        <w:rPr>
          <w:rFonts w:ascii="Times New Roman" w:hAnsi="Times New Roman" w:eastAsia="楷体_GB2312"/>
          <w:sz w:val="24"/>
          <w:szCs w:val="24"/>
        </w:rPr>
        <w:t>1号车间SevenEasy pH计标准操作规程</w:t>
      </w:r>
      <w:r>
        <w:rPr>
          <w:rFonts w:hint="eastAsia" w:ascii="Times New Roman" w:hAnsi="Times New Roman" w:eastAsia="楷体_GB2312"/>
          <w:sz w:val="24"/>
          <w:szCs w:val="24"/>
        </w:rPr>
        <w:t>》</w:t>
      </w:r>
      <w:r>
        <w:rPr>
          <w:rFonts w:ascii="Times New Roman" w:hAnsi="Times New Roman" w:eastAsia="楷体_GB2312"/>
          <w:sz w:val="24"/>
          <w:szCs w:val="24"/>
        </w:rPr>
        <w:t>，</w:t>
      </w:r>
      <w:r>
        <w:rPr>
          <w:rFonts w:hint="eastAsia" w:ascii="Times New Roman" w:hAnsi="Times New Roman" w:eastAsia="楷体_GB2312"/>
          <w:sz w:val="24"/>
          <w:szCs w:val="24"/>
        </w:rPr>
        <w:t>对注射用水使用</w:t>
      </w:r>
      <w:r>
        <w:rPr>
          <w:rFonts w:ascii="Times New Roman" w:hAnsi="Times New Roman" w:eastAsia="楷体_GB2312" w:cs="Times New Roman"/>
          <w:sz w:val="24"/>
          <w:szCs w:val="24"/>
          <w:lang w:val="zh-CN"/>
        </w:rPr>
        <w:t>pH</w:t>
      </w:r>
      <w:r>
        <w:rPr>
          <w:rFonts w:hint="eastAsia" w:ascii="Times New Roman" w:hAnsi="Times New Roman" w:eastAsia="楷体_GB2312" w:cs="Times New Roman"/>
          <w:sz w:val="24"/>
          <w:szCs w:val="24"/>
          <w:lang w:val="zh-CN"/>
        </w:rPr>
        <w:t>测定</w:t>
      </w:r>
      <w:r>
        <w:rPr>
          <w:rFonts w:hint="eastAsia" w:ascii="Times New Roman" w:hAnsi="Times New Roman" w:eastAsia="楷体_GB2312" w:cs="Times New Roman"/>
          <w:sz w:val="24"/>
          <w:szCs w:val="24"/>
          <w:lang w:val="en-US" w:eastAsia="zh-CN"/>
        </w:rPr>
        <w:t>仪</w:t>
      </w:r>
      <w:r>
        <w:rPr>
          <w:rFonts w:ascii="Times New Roman" w:hAnsi="Times New Roman" w:eastAsia="楷体_GB2312"/>
          <w:sz w:val="24"/>
          <w:szCs w:val="24"/>
        </w:rPr>
        <w:t>连续</w:t>
      </w:r>
      <w:r>
        <w:rPr>
          <w:rFonts w:hint="eastAsia" w:ascii="Times New Roman" w:hAnsi="Times New Roman" w:eastAsia="楷体_GB2312"/>
          <w:sz w:val="24"/>
          <w:szCs w:val="24"/>
        </w:rPr>
        <w:t>测量</w:t>
      </w:r>
      <w:r>
        <w:rPr>
          <w:rFonts w:ascii="Times New Roman" w:hAnsi="Times New Roman" w:eastAsia="楷体_GB2312"/>
          <w:sz w:val="24"/>
          <w:szCs w:val="24"/>
        </w:rPr>
        <w:t>十次，记录</w:t>
      </w:r>
      <w:r>
        <w:rPr>
          <w:rFonts w:hint="eastAsia" w:ascii="Times New Roman" w:hAnsi="Times New Roman" w:eastAsia="楷体_GB2312"/>
          <w:sz w:val="24"/>
          <w:szCs w:val="24"/>
        </w:rPr>
        <w:t>测量</w:t>
      </w:r>
      <w:r>
        <w:rPr>
          <w:rFonts w:ascii="Times New Roman" w:hAnsi="Times New Roman" w:eastAsia="楷体_GB2312"/>
          <w:sz w:val="24"/>
          <w:szCs w:val="24"/>
        </w:rPr>
        <w:t>结果。</w:t>
      </w:r>
    </w:p>
    <w:p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cs="Times New Roman" w:hAnsiTheme="minorEastAsia" w:eastAsiaTheme="minorEastAsia"/>
          <w:b/>
          <w:sz w:val="28"/>
          <w:szCs w:val="28"/>
          <w:lang w:val="zh-CN"/>
        </w:rPr>
        <w:t>三</w:t>
      </w:r>
      <w:r>
        <w:rPr>
          <w:rFonts w:ascii="Times New Roman" w:hAnsi="Times New Roman" w:cs="Times New Roman" w:eastAsiaTheme="minorEastAsia"/>
          <w:b/>
          <w:sz w:val="28"/>
          <w:szCs w:val="28"/>
          <w:lang w:val="zh-CN"/>
        </w:rPr>
        <w:t>.</w:t>
      </w:r>
      <w:r>
        <w:rPr>
          <w:rFonts w:ascii="Times New Roman" w:cs="Times New Roman" w:hAnsiTheme="minorEastAsia" w:eastAsiaTheme="minorEastAsia"/>
          <w:b/>
          <w:sz w:val="28"/>
          <w:szCs w:val="28"/>
          <w:lang w:val="zh-CN"/>
        </w:rPr>
        <w:t>数学模型</w:t>
      </w:r>
    </w:p>
    <w:p>
      <w:pPr>
        <w:autoSpaceDE w:val="0"/>
        <w:autoSpaceDN w:val="0"/>
        <w:adjustRightInd w:val="0"/>
        <w:spacing w:line="360" w:lineRule="auto"/>
        <w:ind w:left="425" w:leftChars="177" w:firstLine="76" w:firstLineChars="32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测量过程</w:t>
      </w:r>
      <w:r>
        <w:rPr>
          <w:rFonts w:ascii="Times New Roman" w:hAnsi="Times New Roman" w:eastAsia="楷体_GB2312" w:cs="Times New Roman"/>
          <w:lang w:val="zh-CN"/>
        </w:rPr>
        <w:t>不确定度主要来源</w:t>
      </w:r>
    </w:p>
    <w:p>
      <w:pPr>
        <w:spacing w:line="360" w:lineRule="auto"/>
        <w:ind w:firstLine="357"/>
        <w:rPr>
          <w:rFonts w:ascii="Times New Roman" w:hAnsi="Times New Roman" w:eastAsia="楷体_GB2312" w:cs="Times New Roman"/>
          <w:szCs w:val="21"/>
        </w:rPr>
      </w:pPr>
      <w:r>
        <w:rPr>
          <w:rFonts w:ascii="Times New Roman" w:hAnsi="Times New Roman" w:eastAsia="楷体_GB2312" w:cs="Times New Roman"/>
          <w:szCs w:val="21"/>
        </w:rPr>
        <w:t>（1）重复性实验引入的A类标准不确定度</w:t>
      </w:r>
      <w:r>
        <w:rPr>
          <w:rFonts w:ascii="Times New Roman" w:hAnsi="Times New Roman" w:eastAsia="楷体_GB2312" w:cs="Times New Roman"/>
          <w:bCs/>
          <w:i/>
        </w:rPr>
        <w:t>u</w:t>
      </w:r>
      <w:r>
        <w:rPr>
          <w:rFonts w:ascii="Times New Roman" w:hAnsi="Times New Roman" w:eastAsia="楷体_GB2312" w:cs="Times New Roman"/>
          <w:bCs/>
          <w:vertAlign w:val="subscript"/>
        </w:rPr>
        <w:t>1</w:t>
      </w:r>
      <w:r>
        <w:rPr>
          <w:rFonts w:ascii="Times New Roman" w:hAnsi="Times New Roman" w:eastAsia="楷体_GB2312" w:cs="Times New Roman"/>
          <w:szCs w:val="21"/>
        </w:rPr>
        <w:t>；</w:t>
      </w:r>
    </w:p>
    <w:p>
      <w:pPr>
        <w:spacing w:line="360" w:lineRule="auto"/>
        <w:ind w:firstLine="357"/>
        <w:rPr>
          <w:rFonts w:ascii="Times New Roman" w:hAnsi="Times New Roman" w:eastAsia="楷体_GB2312" w:cs="Times New Roman"/>
          <w:szCs w:val="21"/>
        </w:rPr>
      </w:pPr>
      <w:r>
        <w:rPr>
          <w:rFonts w:ascii="Times New Roman" w:hAnsi="Times New Roman" w:eastAsia="楷体_GB2312" w:cs="Times New Roman"/>
          <w:szCs w:val="21"/>
        </w:rPr>
        <w:t>（2）该等级下</w:t>
      </w:r>
      <w:r>
        <w:rPr>
          <w:rFonts w:hint="eastAsia" w:ascii="Times New Roman" w:hAnsi="Times New Roman" w:eastAsia="楷体_GB2312" w:cs="Times New Roman"/>
          <w:szCs w:val="21"/>
          <w:lang w:eastAsia="zh-CN"/>
        </w:rPr>
        <w:t>pH测定仪</w:t>
      </w:r>
      <w:r>
        <w:rPr>
          <w:rFonts w:ascii="Times New Roman" w:hAnsi="Times New Roman" w:eastAsia="楷体_GB2312" w:cs="Times New Roman"/>
          <w:szCs w:val="21"/>
        </w:rPr>
        <w:t>最大允许误差引入的B类标准不确定度</w:t>
      </w:r>
      <w:r>
        <w:rPr>
          <w:rFonts w:ascii="Times New Roman" w:hAnsi="Times New Roman" w:eastAsia="楷体_GB2312" w:cs="Times New Roman"/>
          <w:i/>
          <w:szCs w:val="21"/>
        </w:rPr>
        <w:t>u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；</w:t>
      </w:r>
    </w:p>
    <w:p>
      <w:pPr>
        <w:spacing w:line="360" w:lineRule="auto"/>
        <w:ind w:firstLine="357"/>
        <w:rPr>
          <w:rFonts w:ascii="Times New Roman" w:hAnsi="Times New Roman" w:eastAsia="楷体_GB2312" w:cs="Times New Roman"/>
          <w:szCs w:val="21"/>
        </w:rPr>
      </w:pPr>
      <w:r>
        <w:rPr>
          <w:rFonts w:ascii="Times New Roman" w:hAnsi="Times New Roman" w:eastAsia="楷体_GB2312" w:cs="Times New Roman"/>
          <w:szCs w:val="21"/>
        </w:rPr>
        <w:t>（3）</w:t>
      </w:r>
      <w:r>
        <w:rPr>
          <w:rFonts w:ascii="Times New Roman" w:hAnsi="Times New Roman" w:eastAsia="楷体_GB2312" w:cs="Times New Roman"/>
          <w:sz w:val="24"/>
          <w:szCs w:val="24"/>
          <w:lang w:val="zh-CN"/>
        </w:rPr>
        <w:t>pH</w:t>
      </w:r>
      <w:r>
        <w:rPr>
          <w:rFonts w:hint="eastAsia" w:ascii="Times New Roman" w:hAnsi="Times New Roman" w:eastAsia="楷体_GB2312" w:cs="Times New Roman"/>
          <w:sz w:val="24"/>
          <w:szCs w:val="24"/>
          <w:lang w:val="zh-CN"/>
        </w:rPr>
        <w:t>测定</w:t>
      </w:r>
      <w:r>
        <w:rPr>
          <w:rFonts w:hint="eastAsia" w:ascii="Times New Roman" w:hAnsi="Times New Roman" w:eastAsia="楷体_GB2312" w:cs="Times New Roman"/>
          <w:sz w:val="24"/>
          <w:szCs w:val="24"/>
          <w:lang w:val="en-US" w:eastAsia="zh-CN"/>
        </w:rPr>
        <w:t>仪</w:t>
      </w:r>
      <w:r>
        <w:rPr>
          <w:rFonts w:ascii="Times New Roman" w:hAnsi="Times New Roman" w:eastAsia="楷体_GB2312" w:cs="Times New Roman"/>
          <w:szCs w:val="21"/>
        </w:rPr>
        <w:t>分辨力引入的B类标准不确定度</w:t>
      </w:r>
      <w:r>
        <w:rPr>
          <w:rFonts w:ascii="Times New Roman" w:hAnsi="Times New Roman" w:eastAsia="楷体_GB2312" w:cs="Times New Roman"/>
          <w:i/>
          <w:szCs w:val="21"/>
        </w:rPr>
        <w:t>u</w:t>
      </w:r>
      <w:r>
        <w:rPr>
          <w:rFonts w:ascii="Times New Roman" w:hAnsi="Times New Roman" w:eastAsia="楷体_GB2312" w:cs="Times New Roman"/>
          <w:szCs w:val="21"/>
          <w:vertAlign w:val="subscript"/>
        </w:rPr>
        <w:t>3</w:t>
      </w:r>
      <w:r>
        <w:rPr>
          <w:rFonts w:ascii="Times New Roman" w:hAnsi="Times New Roman" w:eastAsia="楷体_GB2312" w:cs="Times New Roman"/>
          <w:szCs w:val="21"/>
        </w:rPr>
        <w:t>。</w:t>
      </w:r>
    </w:p>
    <w:p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 w:eastAsiaTheme="minorEastAsia"/>
          <w:b/>
          <w:bCs/>
          <w:sz w:val="28"/>
          <w:szCs w:val="28"/>
        </w:rPr>
      </w:pPr>
      <w:r>
        <w:rPr>
          <w:rFonts w:ascii="Times New Roman" w:cs="Times New Roman" w:hAnsiTheme="minorEastAsia" w:eastAsiaTheme="minorEastAsia"/>
          <w:b/>
          <w:bCs/>
          <w:sz w:val="28"/>
          <w:szCs w:val="28"/>
        </w:rPr>
        <w:t>四</w:t>
      </w:r>
      <w:r>
        <w:rPr>
          <w:rFonts w:ascii="Times New Roman" w:hAnsi="Times New Roman" w:cs="Times New Roman" w:eastAsiaTheme="minorEastAsia"/>
          <w:b/>
          <w:bCs/>
          <w:sz w:val="28"/>
          <w:szCs w:val="28"/>
        </w:rPr>
        <w:t>.</w:t>
      </w:r>
      <w:r>
        <w:rPr>
          <w:rFonts w:ascii="Times New Roman" w:cs="Times New Roman" w:hAnsiTheme="minorEastAsia" w:eastAsiaTheme="minorEastAsia"/>
          <w:b/>
          <w:bCs/>
          <w:sz w:val="28"/>
          <w:szCs w:val="28"/>
        </w:rPr>
        <w:t>各不确定度分量评定</w:t>
      </w:r>
    </w:p>
    <w:p>
      <w:pPr>
        <w:pStyle w:val="14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rPr>
          <w:rFonts w:ascii="Times New Roman" w:hAnsi="Times New Roman" w:eastAsia="楷体_GB2312"/>
          <w:sz w:val="24"/>
          <w:szCs w:val="24"/>
          <w:lang w:val="zh-CN"/>
        </w:rPr>
      </w:pPr>
      <w:r>
        <w:rPr>
          <w:rFonts w:ascii="Times New Roman" w:hAnsi="Times New Roman" w:eastAsia="楷体_GB2312"/>
          <w:sz w:val="24"/>
          <w:szCs w:val="24"/>
          <w:lang w:val="zh-CN"/>
        </w:rPr>
        <w:t>环境条件：温度</w:t>
      </w:r>
      <w:r>
        <w:rPr>
          <w:rFonts w:ascii="Times New Roman" w:hAnsi="Times New Roman" w:eastAsia="楷体_GB2312"/>
          <w:bCs/>
          <w:kern w:val="0"/>
          <w:sz w:val="24"/>
          <w:szCs w:val="24"/>
        </w:rPr>
        <w:t>22.7</w:t>
      </w:r>
      <w:r>
        <w:rPr>
          <w:rFonts w:hint="eastAsia" w:ascii="宋体" w:hAnsi="宋体" w:cs="宋体"/>
          <w:bCs/>
          <w:kern w:val="0"/>
          <w:sz w:val="24"/>
          <w:szCs w:val="24"/>
        </w:rPr>
        <w:t>℃</w:t>
      </w:r>
      <w:r>
        <w:rPr>
          <w:rFonts w:ascii="Times New Roman" w:hAnsi="Times New Roman" w:eastAsia="楷体_GB2312"/>
          <w:sz w:val="24"/>
          <w:szCs w:val="24"/>
          <w:lang w:val="zh-CN"/>
        </w:rPr>
        <w:t>湿度：</w:t>
      </w:r>
      <w:r>
        <w:rPr>
          <w:rFonts w:ascii="Times New Roman" w:hAnsi="Times New Roman" w:eastAsia="楷体_GB2312"/>
          <w:bCs/>
          <w:kern w:val="0"/>
          <w:sz w:val="24"/>
          <w:szCs w:val="24"/>
        </w:rPr>
        <w:t>54%</w:t>
      </w:r>
    </w:p>
    <w:p>
      <w:pPr>
        <w:pStyle w:val="14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rPr>
          <w:rFonts w:ascii="Times New Roman" w:hAnsi="Times New Roman" w:eastAsia="楷体_GB2312"/>
          <w:sz w:val="24"/>
          <w:szCs w:val="24"/>
          <w:lang w:val="zh-CN"/>
        </w:rPr>
      </w:pPr>
      <w:r>
        <w:rPr>
          <w:rFonts w:hint="eastAsia" w:ascii="Times New Roman" w:hAnsi="Times New Roman" w:eastAsia="楷体_GB2312"/>
          <w:sz w:val="24"/>
          <w:szCs w:val="24"/>
          <w:lang w:val="zh-CN"/>
        </w:rPr>
        <w:t>测定</w:t>
      </w:r>
      <w:r>
        <w:rPr>
          <w:rFonts w:ascii="Times New Roman" w:hAnsi="Times New Roman" w:eastAsia="楷体_GB2312"/>
          <w:sz w:val="24"/>
          <w:szCs w:val="24"/>
          <w:lang w:val="zh-CN"/>
        </w:rPr>
        <w:t>注射用水pH值时重复性试验的标准不确定度</w:t>
      </w:r>
      <w:r>
        <w:rPr>
          <w:rFonts w:ascii="Times New Roman" w:hAnsi="Times New Roman" w:eastAsia="楷体_GB2312"/>
          <w:i/>
          <w:sz w:val="24"/>
          <w:szCs w:val="24"/>
          <w:lang w:val="zh-CN"/>
        </w:rPr>
        <w:t>u</w:t>
      </w:r>
      <w:r>
        <w:rPr>
          <w:rFonts w:ascii="Times New Roman" w:hAnsi="Times New Roman" w:eastAsia="楷体_GB2312"/>
          <w:sz w:val="24"/>
          <w:szCs w:val="24"/>
          <w:vertAlign w:val="subscript"/>
          <w:lang w:val="zh-CN"/>
        </w:rPr>
        <w:t>1</w:t>
      </w:r>
    </w:p>
    <w:tbl>
      <w:tblPr>
        <w:tblStyle w:val="10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3"/>
        <w:gridCol w:w="709"/>
        <w:gridCol w:w="636"/>
        <w:gridCol w:w="636"/>
        <w:gridCol w:w="636"/>
        <w:gridCol w:w="682"/>
        <w:gridCol w:w="709"/>
        <w:gridCol w:w="709"/>
        <w:gridCol w:w="709"/>
        <w:gridCol w:w="709"/>
        <w:gridCol w:w="112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14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序号</w:t>
            </w:r>
          </w:p>
        </w:tc>
        <w:tc>
          <w:tcPr>
            <w:tcW w:w="713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1</w:t>
            </w:r>
          </w:p>
        </w:tc>
        <w:tc>
          <w:tcPr>
            <w:tcW w:w="709" w:type="dxa"/>
            <w:tcBorders>
              <w:bottom w:val="single" w:color="auto" w:sz="8" w:space="0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2</w:t>
            </w:r>
          </w:p>
        </w:tc>
        <w:tc>
          <w:tcPr>
            <w:tcW w:w="576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3</w:t>
            </w:r>
          </w:p>
        </w:tc>
        <w:tc>
          <w:tcPr>
            <w:tcW w:w="576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4</w:t>
            </w:r>
          </w:p>
        </w:tc>
        <w:tc>
          <w:tcPr>
            <w:tcW w:w="576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5</w:t>
            </w:r>
          </w:p>
        </w:tc>
        <w:tc>
          <w:tcPr>
            <w:tcW w:w="682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6</w:t>
            </w:r>
          </w:p>
        </w:tc>
        <w:tc>
          <w:tcPr>
            <w:tcW w:w="709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7</w:t>
            </w:r>
          </w:p>
        </w:tc>
        <w:tc>
          <w:tcPr>
            <w:tcW w:w="709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9</w:t>
            </w:r>
          </w:p>
        </w:tc>
        <w:tc>
          <w:tcPr>
            <w:tcW w:w="709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10</w:t>
            </w:r>
          </w:p>
        </w:tc>
        <w:tc>
          <w:tcPr>
            <w:tcW w:w="1125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平均值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14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hint="eastAsia" w:ascii="Times New Roman" w:hAnsi="Times New Roman" w:eastAsia="楷体_GB2312" w:cs="Times New Roman"/>
                <w:bCs/>
              </w:rPr>
              <w:t>pH</w:t>
            </w:r>
          </w:p>
        </w:tc>
        <w:tc>
          <w:tcPr>
            <w:tcW w:w="713" w:type="dxa"/>
            <w:tcBorders>
              <w:right w:val="single" w:color="auto" w:sz="8" w:space="0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5.28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5.29</w:t>
            </w:r>
          </w:p>
        </w:tc>
        <w:tc>
          <w:tcPr>
            <w:tcW w:w="576" w:type="dxa"/>
            <w:tcBorders>
              <w:left w:val="single" w:color="auto" w:sz="8" w:space="0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5.28</w:t>
            </w:r>
          </w:p>
        </w:tc>
        <w:tc>
          <w:tcPr>
            <w:tcW w:w="576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5.29</w:t>
            </w:r>
          </w:p>
        </w:tc>
        <w:tc>
          <w:tcPr>
            <w:tcW w:w="576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5.28</w:t>
            </w:r>
          </w:p>
        </w:tc>
        <w:tc>
          <w:tcPr>
            <w:tcW w:w="682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5.29</w:t>
            </w:r>
          </w:p>
        </w:tc>
        <w:tc>
          <w:tcPr>
            <w:tcW w:w="709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5.28</w:t>
            </w:r>
          </w:p>
        </w:tc>
        <w:tc>
          <w:tcPr>
            <w:tcW w:w="709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5.28</w:t>
            </w:r>
          </w:p>
        </w:tc>
        <w:tc>
          <w:tcPr>
            <w:tcW w:w="709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5.28</w:t>
            </w:r>
          </w:p>
        </w:tc>
        <w:tc>
          <w:tcPr>
            <w:tcW w:w="709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</w:rPr>
            </w:pPr>
            <w:r>
              <w:rPr>
                <w:rFonts w:ascii="Times New Roman" w:hAnsi="Times New Roman" w:eastAsia="楷体_GB2312" w:cs="Times New Roman"/>
                <w:bCs/>
              </w:rPr>
              <w:t>5.29</w:t>
            </w:r>
          </w:p>
        </w:tc>
        <w:tc>
          <w:tcPr>
            <w:tcW w:w="1125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楷体_GB2312" w:cs="Times New Roman"/>
                <w:bCs/>
                <w:highlight w:val="lightGray"/>
              </w:rPr>
            </w:pPr>
            <w:r>
              <w:rPr>
                <w:rFonts w:hint="eastAsia" w:ascii="Times New Roman" w:hAnsi="Times New Roman" w:eastAsia="楷体_GB2312" w:cs="Times New Roman"/>
                <w:bCs/>
              </w:rPr>
              <w:t>5</w:t>
            </w:r>
            <w:r>
              <w:rPr>
                <w:rFonts w:ascii="Times New Roman" w:hAnsi="Times New Roman" w:eastAsia="楷体_GB2312" w:cs="Times New Roman"/>
                <w:bCs/>
              </w:rPr>
              <w:t>.284</w:t>
            </w:r>
          </w:p>
        </w:tc>
      </w:tr>
    </w:tbl>
    <w:p>
      <w:pPr>
        <w:widowControl w:val="0"/>
        <w:spacing w:line="360" w:lineRule="auto"/>
        <w:ind w:left="560" w:leftChars="233" w:hanging="1"/>
        <w:rPr>
          <w:rFonts w:ascii="Times New Roman" w:hAnsi="Times New Roman" w:eastAsia="楷体_GB2312" w:cs="Times New Roman"/>
          <w:bCs/>
        </w:rPr>
      </w:pPr>
    </w:p>
    <w:p>
      <w:pPr>
        <w:widowControl w:val="0"/>
        <w:spacing w:line="360" w:lineRule="auto"/>
        <w:ind w:left="560" w:leftChars="233" w:hanging="1"/>
        <w:rPr>
          <w:rFonts w:ascii="Times New Roman" w:hAnsi="Times New Roman" w:eastAsia="楷体_GB2312" w:cs="Times New Roman"/>
          <w:bCs/>
        </w:rPr>
      </w:pPr>
    </w:p>
    <w:p>
      <w:pPr>
        <w:widowControl w:val="0"/>
        <w:spacing w:line="360" w:lineRule="auto"/>
        <w:ind w:left="560" w:leftChars="233" w:hanging="1"/>
        <w:rPr>
          <w:rFonts w:ascii="Times New Roman" w:hAnsi="Times New Roman" w:eastAsia="楷体_GB2312" w:cs="Times New Roman"/>
          <w:bCs/>
        </w:rPr>
      </w:pPr>
    </w:p>
    <w:p>
      <w:pPr>
        <w:widowControl w:val="0"/>
        <w:spacing w:line="360" w:lineRule="auto"/>
        <w:ind w:left="560" w:leftChars="233" w:hanging="1"/>
        <w:rPr>
          <w:rFonts w:ascii="Times New Roman" w:hAnsi="Times New Roman" w:eastAsia="楷体_GB2312" w:cs="Times New Roman"/>
          <w:bCs/>
        </w:rPr>
      </w:pPr>
      <w:r>
        <w:rPr>
          <w:rFonts w:ascii="Times New Roman" w:hAnsi="Times New Roman" w:eastAsia="楷体_GB2312" w:cs="Times New Roman"/>
          <w:bCs/>
        </w:rPr>
        <w:t>由贝塞尔公式得：</w:t>
      </w:r>
    </w:p>
    <w:p>
      <w:pPr>
        <w:widowControl w:val="0"/>
        <w:spacing w:line="360" w:lineRule="auto"/>
        <w:ind w:left="560" w:leftChars="233" w:hanging="1"/>
        <w:jc w:val="center"/>
        <w:rPr>
          <w:rFonts w:ascii="Times New Roman" w:hAnsi="Times New Roman" w:eastAsia="楷体_GB2312" w:cs="Times New Roman"/>
          <w:bCs/>
        </w:rPr>
      </w:pPr>
      <w:r>
        <w:rPr>
          <w:rFonts w:ascii="Times New Roman" w:hAnsi="Times New Roman" w:eastAsia="楷体_GB2312" w:cs="Times New Roman"/>
          <w:position w:val="-26"/>
          <w:lang w:val="zh-CN"/>
        </w:rPr>
        <w:object>
          <v:shape id="_x0000_i1025" o:spt="75" type="#_x0000_t75" style="height:51.6pt;width:105.95pt;" o:ole="t" filled="f" coordsize="21600,21600">
            <v:path/>
            <v:fill on="f" focussize="0,0"/>
            <v:stroke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 w:eastAsia="楷体_GB2312" w:cs="Times New Roman"/>
          <w:bCs/>
        </w:rPr>
        <w:t>=0.00516</w:t>
      </w:r>
    </w:p>
    <w:p>
      <w:pPr>
        <w:widowControl w:val="0"/>
        <w:spacing w:line="360" w:lineRule="auto"/>
        <w:ind w:left="560" w:leftChars="233" w:hanging="1"/>
        <w:rPr>
          <w:rFonts w:ascii="Times New Roman" w:hAnsi="Times New Roman" w:eastAsia="楷体_GB2312" w:cs="Times New Roman"/>
          <w:bCs/>
        </w:rPr>
      </w:pPr>
      <w:r>
        <w:rPr>
          <w:rFonts w:hint="eastAsia" w:ascii="Times New Roman" w:hAnsi="Times New Roman" w:eastAsia="楷体_GB2312" w:cs="Times New Roman"/>
          <w:bCs/>
        </w:rPr>
        <w:t>在日常注射用水pH值测定过程中，测量次数为1，则</w:t>
      </w:r>
      <w:r>
        <w:rPr>
          <w:rFonts w:ascii="Times New Roman" w:hAnsi="Times New Roman" w:eastAsia="楷体_GB2312" w:cs="Times New Roman"/>
          <w:bCs/>
        </w:rPr>
        <w:t>平均值的标准偏差为：</w:t>
      </w:r>
    </w:p>
    <w:p>
      <w:pPr>
        <w:widowControl w:val="0"/>
        <w:spacing w:line="360" w:lineRule="auto"/>
        <w:ind w:left="560" w:leftChars="233" w:hanging="1"/>
        <w:jc w:val="center"/>
        <w:rPr>
          <w:rFonts w:ascii="Times New Roman" w:hAnsi="Times New Roman" w:eastAsia="楷体_GB2312" w:cs="Times New Roman"/>
          <w:bCs/>
        </w:rPr>
      </w:pPr>
      <w:r>
        <w:rPr>
          <w:rFonts w:ascii="Times New Roman" w:hAnsi="Times New Roman" w:eastAsia="楷体_GB2312" w:cs="Times New Roman"/>
          <w:bCs/>
          <w:position w:val="-28"/>
        </w:rPr>
        <w:object>
          <v:shape id="_x0000_i1026" o:spt="75" type="#_x0000_t75" style="height:33.3pt;width:63.85pt;" o:ole="t" filled="f" coordsize="21600,21600">
            <v:path/>
            <v:fill on="f" focussize="0,0"/>
            <v:stroke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 w:eastAsia="楷体_GB2312" w:cs="Times New Roman"/>
          <w:bCs/>
        </w:rPr>
        <w:t>=0.00516</w:t>
      </w:r>
    </w:p>
    <w:p>
      <w:pPr>
        <w:widowControl w:val="0"/>
        <w:spacing w:line="360" w:lineRule="auto"/>
        <w:ind w:left="560" w:leftChars="233" w:hanging="1"/>
        <w:rPr>
          <w:rFonts w:ascii="Times New Roman" w:hAnsi="Times New Roman" w:eastAsia="楷体_GB2312" w:cs="Times New Roman"/>
          <w:bCs/>
        </w:rPr>
      </w:pPr>
      <w:r>
        <w:rPr>
          <w:rFonts w:ascii="Times New Roman" w:hAnsi="Times New Roman" w:eastAsia="楷体_GB2312" w:cs="Times New Roman"/>
          <w:bCs/>
        </w:rPr>
        <w:t>测定</w:t>
      </w:r>
      <w:r>
        <w:rPr>
          <w:rFonts w:ascii="Times New Roman" w:hAnsi="Times New Roman" w:eastAsia="楷体_GB2312" w:cs="Times New Roman"/>
          <w:lang w:val="zh-CN"/>
        </w:rPr>
        <w:t>注射用水pH值</w:t>
      </w:r>
      <w:r>
        <w:rPr>
          <w:rFonts w:ascii="Times New Roman" w:hAnsi="Times New Roman" w:eastAsia="楷体_GB2312" w:cs="Times New Roman"/>
          <w:bCs/>
        </w:rPr>
        <w:t>重复性的标准不确定度</w:t>
      </w:r>
      <w:r>
        <w:rPr>
          <w:rFonts w:ascii="Times New Roman" w:hAnsi="Times New Roman" w:eastAsia="楷体_GB2312" w:cs="Times New Roman"/>
          <w:bCs/>
          <w:i/>
        </w:rPr>
        <w:t>u</w:t>
      </w:r>
      <w:r>
        <w:rPr>
          <w:rFonts w:ascii="Times New Roman" w:hAnsi="Times New Roman" w:eastAsia="楷体_GB2312" w:cs="Times New Roman"/>
          <w:bCs/>
          <w:vertAlign w:val="subscript"/>
        </w:rPr>
        <w:t>1</w:t>
      </w:r>
      <w:r>
        <w:rPr>
          <w:rFonts w:ascii="Times New Roman" w:hAnsi="Times New Roman" w:eastAsia="楷体_GB2312" w:cs="Times New Roman"/>
          <w:bCs/>
        </w:rPr>
        <w:t>为：</w:t>
      </w:r>
    </w:p>
    <w:p>
      <w:pPr>
        <w:widowControl w:val="0"/>
        <w:spacing w:line="360" w:lineRule="auto"/>
        <w:ind w:left="560" w:leftChars="233" w:hanging="1"/>
        <w:jc w:val="center"/>
        <w:rPr>
          <w:rFonts w:ascii="Times New Roman" w:hAnsi="Times New Roman" w:eastAsia="楷体_GB2312" w:cs="Times New Roman"/>
          <w:bCs/>
        </w:rPr>
      </w:pPr>
      <w:r>
        <w:rPr>
          <w:rFonts w:ascii="Times New Roman" w:hAnsi="Times New Roman" w:eastAsia="楷体_GB2312" w:cs="Times New Roman"/>
          <w:bCs/>
          <w:i/>
        </w:rPr>
        <w:t>u</w:t>
      </w:r>
      <w:r>
        <w:rPr>
          <w:rFonts w:ascii="Times New Roman" w:hAnsi="Times New Roman" w:eastAsia="楷体_GB2312" w:cs="Times New Roman"/>
          <w:bCs/>
          <w:vertAlign w:val="subscript"/>
        </w:rPr>
        <w:t>1</w:t>
      </w:r>
      <w:r>
        <w:rPr>
          <w:rFonts w:ascii="Times New Roman" w:hAnsi="Times New Roman" w:eastAsia="楷体_GB2312" w:cs="Times New Roman"/>
          <w:bCs/>
        </w:rPr>
        <w:t>=</w:t>
      </w:r>
      <w:r>
        <w:rPr>
          <w:rFonts w:ascii="Times New Roman" w:hAnsi="Times New Roman" w:eastAsia="楷体_GB2312" w:cs="Times New Roman"/>
          <w:bCs/>
          <w:position w:val="-10"/>
        </w:rPr>
        <w:object>
          <v:shape id="_x0000_i1027" o:spt="201" type="#_x0000_t201" style="height:19pt;width:26.5pt;" o:ole="t" filled="f" coordsize="21600,21600">
            <v:path/>
            <v:fill on="f" focussize="0,0"/>
            <v:stroke/>
            <v:imagedata r:id="rId12" o:title=""/>
            <o:lock v:ext="edit" aspectratio="t"/>
            <w10:wrap type="none"/>
            <w10:anchorlock/>
          </v:shape>
          <w:control r:id="rId11" w:name="Control 3" w:shapeid="_x0000_i1027"/>
        </w:object>
      </w:r>
      <w:r>
        <w:rPr>
          <w:rFonts w:ascii="Times New Roman" w:hAnsi="Times New Roman" w:eastAsia="楷体_GB2312" w:cs="Times New Roman"/>
          <w:bCs/>
        </w:rPr>
        <w:t>= 0.00516</w:t>
      </w:r>
    </w:p>
    <w:p>
      <w:pPr>
        <w:widowControl w:val="0"/>
        <w:spacing w:line="360" w:lineRule="auto"/>
        <w:ind w:left="542" w:leftChars="221" w:hanging="12" w:hangingChars="5"/>
        <w:rPr>
          <w:rFonts w:ascii="Times New Roman" w:hAnsi="Times New Roman" w:eastAsia="楷体_GB2312" w:cs="Times New Roman"/>
          <w:bCs/>
        </w:rPr>
      </w:pPr>
      <w:r>
        <w:rPr>
          <w:rFonts w:ascii="Times New Roman" w:hAnsi="Times New Roman" w:eastAsia="楷体_GB2312" w:cs="Times New Roman"/>
          <w:bCs/>
        </w:rPr>
        <w:t>3、</w:t>
      </w:r>
      <w:r>
        <w:rPr>
          <w:rFonts w:ascii="Times New Roman" w:hAnsi="Times New Roman" w:eastAsia="楷体_GB2312" w:cs="Times New Roman"/>
        </w:rPr>
        <w:t>称量B类不确定度来自两个方面：第一，由</w:t>
      </w:r>
      <w:r>
        <w:rPr>
          <w:rFonts w:hint="eastAsia" w:ascii="Times New Roman" w:hAnsi="Times New Roman" w:eastAsia="楷体_GB2312" w:cs="Times New Roman"/>
          <w:lang w:eastAsia="zh-CN"/>
        </w:rPr>
        <w:t>pH测定仪</w:t>
      </w:r>
      <w:r>
        <w:rPr>
          <w:rFonts w:ascii="Times New Roman" w:hAnsi="Times New Roman" w:eastAsia="楷体_GB2312" w:cs="Times New Roman"/>
        </w:rPr>
        <w:t>本身误差引入的不确定度，按B类方法评定；第二，</w:t>
      </w:r>
      <w:r>
        <w:rPr>
          <w:rFonts w:hint="eastAsia" w:ascii="Times New Roman" w:hAnsi="Times New Roman" w:eastAsia="楷体_GB2312" w:cs="Times New Roman"/>
          <w:lang w:eastAsia="zh-CN"/>
        </w:rPr>
        <w:t>pH测定仪</w:t>
      </w:r>
      <w:r>
        <w:rPr>
          <w:rFonts w:ascii="Times New Roman" w:hAnsi="Times New Roman" w:eastAsia="楷体_GB2312" w:cs="Times New Roman"/>
        </w:rPr>
        <w:t>分辨力，按B类方法评定。</w:t>
      </w:r>
    </w:p>
    <w:p>
      <w:pPr>
        <w:widowControl w:val="0"/>
        <w:spacing w:line="360" w:lineRule="auto"/>
        <w:ind w:left="475" w:leftChars="198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3.1、</w:t>
      </w:r>
      <w:r>
        <w:rPr>
          <w:rFonts w:hint="eastAsia" w:ascii="Times New Roman" w:hAnsi="Times New Roman" w:eastAsia="楷体_GB2312" w:cs="Times New Roman"/>
          <w:lang w:eastAsia="zh-CN"/>
        </w:rPr>
        <w:t>pH测定仪</w:t>
      </w:r>
      <w:r>
        <w:rPr>
          <w:rFonts w:ascii="Times New Roman" w:hAnsi="Times New Roman" w:eastAsia="楷体_GB2312" w:cs="Times New Roman"/>
        </w:rPr>
        <w:t>误差引入的标准不确定度的分量</w:t>
      </w:r>
      <w:r>
        <w:rPr>
          <w:rFonts w:ascii="Times New Roman" w:hAnsi="Times New Roman" w:eastAsia="楷体_GB2312" w:cs="Times New Roman"/>
          <w:i/>
          <w:szCs w:val="21"/>
        </w:rPr>
        <w:t>u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：</w:t>
      </w:r>
      <w:r>
        <w:rPr>
          <w:rFonts w:hint="eastAsia" w:ascii="Times New Roman" w:hAnsi="Times New Roman" w:eastAsia="楷体_GB2312" w:cs="Times New Roman"/>
          <w:lang w:eastAsia="zh-CN"/>
        </w:rPr>
        <w:t>pH测定仪</w:t>
      </w:r>
      <w:r>
        <w:rPr>
          <w:rFonts w:ascii="Times New Roman" w:hAnsi="Times New Roman" w:eastAsia="楷体_GB2312" w:cs="Times New Roman"/>
        </w:rPr>
        <w:t>经检定合格，证书标明</w:t>
      </w:r>
      <w:r>
        <w:rPr>
          <w:rFonts w:hint="eastAsia" w:ascii="Times New Roman" w:hAnsi="Times New Roman" w:eastAsia="楷体_GB2312" w:cs="Times New Roman"/>
        </w:rPr>
        <w:t>0.01级</w:t>
      </w:r>
      <w:r>
        <w:rPr>
          <w:rFonts w:hint="eastAsia" w:ascii="Times New Roman" w:hAnsi="Times New Roman" w:eastAsia="楷体_GB2312" w:cs="Times New Roman"/>
          <w:lang w:eastAsia="zh-CN"/>
        </w:rPr>
        <w:t>pH测定仪</w:t>
      </w:r>
      <w:r>
        <w:rPr>
          <w:rFonts w:ascii="Times New Roman" w:hAnsi="Times New Roman" w:eastAsia="楷体_GB2312" w:cs="Times New Roman"/>
        </w:rPr>
        <w:t>最大允差为±0.0</w:t>
      </w:r>
      <w:r>
        <w:rPr>
          <w:rFonts w:hint="eastAsia" w:ascii="Times New Roman" w:hAnsi="Times New Roman" w:eastAsia="楷体_GB2312" w:cs="Times New Roman"/>
        </w:rPr>
        <w:t>2</w:t>
      </w:r>
      <w:r>
        <w:rPr>
          <w:rFonts w:ascii="Times New Roman" w:hAnsi="Times New Roman" w:eastAsia="楷体_GB2312" w:cs="Times New Roman"/>
        </w:rPr>
        <w:t>，服从均匀分布，区间半宽度为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=0.0</w:t>
      </w:r>
      <w:r>
        <w:rPr>
          <w:rFonts w:hint="eastAsia" w:ascii="Times New Roman" w:hAnsi="Times New Roman" w:eastAsia="楷体_GB2312" w:cs="Times New Roman"/>
        </w:rPr>
        <w:t>2</w:t>
      </w:r>
      <w:r>
        <w:rPr>
          <w:rFonts w:ascii="Times New Roman" w:hAnsi="Times New Roman" w:eastAsia="楷体_GB2312" w:cs="Times New Roman"/>
        </w:rPr>
        <w:t>，包含因子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  <w:position w:val="-8"/>
        </w:rPr>
        <w:drawing>
          <wp:inline distT="0" distB="0" distL="0" distR="0">
            <wp:extent cx="228600" cy="228600"/>
            <wp:effectExtent l="0" t="0" r="0" b="0"/>
            <wp:docPr id="1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_GB2312" w:cs="Times New Roman"/>
        </w:rPr>
        <w:t>，标准不确定度</w:t>
      </w:r>
      <w:r>
        <w:rPr>
          <w:rFonts w:ascii="Times New Roman" w:hAnsi="Times New Roman" w:eastAsia="楷体_GB2312" w:cs="Times New Roman"/>
          <w:i/>
          <w:szCs w:val="21"/>
        </w:rPr>
        <w:t>u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bCs/>
        </w:rPr>
        <w:t>为：</w:t>
      </w:r>
    </w:p>
    <w:p>
      <w:pPr>
        <w:widowControl w:val="0"/>
        <w:spacing w:line="360" w:lineRule="auto"/>
        <w:ind w:left="531" w:leftChars="221" w:hanging="1"/>
        <w:jc w:val="center"/>
        <w:rPr>
          <w:rFonts w:ascii="Times New Roman" w:hAnsi="Times New Roman" w:eastAsia="楷体_GB2312" w:cs="Times New Roman"/>
          <w:bCs/>
        </w:rPr>
      </w:pPr>
      <w:r>
        <w:rPr>
          <w:rFonts w:ascii="Times New Roman" w:hAnsi="Times New Roman" w:eastAsia="楷体_GB2312" w:cs="Times New Roman"/>
          <w:i/>
          <w:szCs w:val="21"/>
        </w:rPr>
        <w:t>u</w:t>
      </w:r>
      <w:r>
        <w:rPr>
          <w:rFonts w:ascii="Times New Roman" w:hAnsi="Times New Roman" w:eastAsia="楷体_GB2312" w:cs="Times New Roman"/>
          <w:szCs w:val="21"/>
          <w:vertAlign w:val="subscript"/>
        </w:rPr>
        <w:t>2=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  <w:vertAlign w:val="subscript"/>
        </w:rPr>
        <w:t xml:space="preserve">/ </w:t>
      </w:r>
      <w:r>
        <w:rPr>
          <w:rFonts w:ascii="Times New Roman" w:hAnsi="Times New Roman" w:eastAsia="楷体_GB2312" w:cs="Times New Roman"/>
          <w:i/>
        </w:rPr>
        <w:t xml:space="preserve">k </w:t>
      </w:r>
      <w:r>
        <w:rPr>
          <w:rFonts w:ascii="Times New Roman" w:hAnsi="Times New Roman" w:eastAsia="楷体_GB2312" w:cs="Times New Roman"/>
          <w:bCs/>
        </w:rPr>
        <w:t>=0.0</w:t>
      </w:r>
      <w:r>
        <w:rPr>
          <w:rFonts w:hint="eastAsia" w:ascii="Times New Roman" w:hAnsi="Times New Roman" w:eastAsia="楷体_GB2312" w:cs="Times New Roman"/>
          <w:bCs/>
        </w:rPr>
        <w:t>115</w:t>
      </w:r>
    </w:p>
    <w:p>
      <w:pPr>
        <w:widowControl w:val="0"/>
        <w:spacing w:line="360" w:lineRule="auto"/>
        <w:ind w:left="425" w:leftChars="177" w:firstLine="65"/>
        <w:rPr>
          <w:rFonts w:ascii="Times New Roman" w:hAnsi="Times New Roman" w:eastAsia="楷体_GB2312" w:cs="Times New Roman"/>
          <w:bCs/>
        </w:rPr>
      </w:pPr>
      <w:r>
        <w:rPr>
          <w:rFonts w:ascii="Times New Roman" w:hAnsi="Times New Roman" w:eastAsia="楷体_GB2312" w:cs="Times New Roman"/>
        </w:rPr>
        <w:t>3.2、</w:t>
      </w:r>
      <w:r>
        <w:rPr>
          <w:rFonts w:hint="eastAsia" w:ascii="Times New Roman" w:hAnsi="Times New Roman" w:eastAsia="楷体_GB2312" w:cs="Times New Roman"/>
          <w:lang w:eastAsia="zh-CN"/>
        </w:rPr>
        <w:t>pH测定仪</w:t>
      </w:r>
      <w:r>
        <w:rPr>
          <w:rFonts w:ascii="Times New Roman" w:hAnsi="Times New Roman" w:eastAsia="楷体_GB2312" w:cs="Times New Roman"/>
        </w:rPr>
        <w:t>分辨力为0.01，服从均匀分布，区间半宽度为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=0.005，包含因子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  <w:position w:val="-8"/>
        </w:rPr>
        <w:drawing>
          <wp:inline distT="0" distB="0" distL="0" distR="0">
            <wp:extent cx="228600" cy="228600"/>
            <wp:effectExtent l="0" t="0" r="0" b="0"/>
            <wp:docPr id="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_GB2312" w:cs="Times New Roman"/>
        </w:rPr>
        <w:t>，标准不确定度</w:t>
      </w:r>
      <w:r>
        <w:rPr>
          <w:rFonts w:ascii="Times New Roman" w:hAnsi="Times New Roman" w:eastAsia="楷体_GB2312" w:cs="Times New Roman"/>
          <w:bCs/>
          <w:i/>
        </w:rPr>
        <w:t>u</w:t>
      </w:r>
      <w:r>
        <w:rPr>
          <w:rFonts w:ascii="Times New Roman" w:hAnsi="Times New Roman" w:eastAsia="楷体_GB2312" w:cs="Times New Roman"/>
          <w:bCs/>
          <w:vertAlign w:val="subscript"/>
        </w:rPr>
        <w:t>3</w:t>
      </w:r>
      <w:r>
        <w:rPr>
          <w:rFonts w:ascii="Times New Roman" w:hAnsi="Times New Roman" w:eastAsia="楷体_GB2312" w:cs="Times New Roman"/>
          <w:bCs/>
        </w:rPr>
        <w:t>为：</w:t>
      </w:r>
    </w:p>
    <w:p>
      <w:pPr>
        <w:widowControl w:val="0"/>
        <w:spacing w:line="360" w:lineRule="auto"/>
        <w:ind w:left="558" w:leftChars="232" w:hanging="1"/>
        <w:jc w:val="center"/>
        <w:rPr>
          <w:rFonts w:ascii="Times New Roman" w:hAnsi="Times New Roman" w:eastAsia="楷体_GB2312" w:cs="Times New Roman"/>
          <w:bCs/>
        </w:rPr>
      </w:pPr>
      <w:r>
        <w:rPr>
          <w:rFonts w:ascii="Times New Roman" w:hAnsi="Times New Roman" w:eastAsia="楷体_GB2312" w:cs="Times New Roman"/>
          <w:i/>
          <w:szCs w:val="21"/>
        </w:rPr>
        <w:t>u</w:t>
      </w:r>
      <w:r>
        <w:rPr>
          <w:rFonts w:ascii="Times New Roman" w:hAnsi="Times New Roman" w:eastAsia="楷体_GB2312" w:cs="Times New Roman"/>
          <w:szCs w:val="21"/>
          <w:vertAlign w:val="subscript"/>
        </w:rPr>
        <w:t>3=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  <w:vertAlign w:val="subscript"/>
        </w:rPr>
        <w:t xml:space="preserve">/ 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  <w:bCs/>
        </w:rPr>
        <w:t xml:space="preserve"> =0.00289</w:t>
      </w:r>
    </w:p>
    <w:p>
      <w:pPr>
        <w:widowControl w:val="0"/>
        <w:spacing w:line="360" w:lineRule="auto"/>
        <w:rPr>
          <w:rFonts w:ascii="Times New Roman" w:hAnsi="Times New Roman" w:cs="Times New Roman" w:eastAsiaTheme="minorEastAsia"/>
          <w:b/>
          <w:bCs/>
          <w:sz w:val="28"/>
          <w:szCs w:val="28"/>
        </w:rPr>
      </w:pPr>
      <w:r>
        <w:rPr>
          <w:rFonts w:ascii="Times New Roman" w:cs="Times New Roman" w:hAnsiTheme="minorEastAsia" w:eastAsiaTheme="minorEastAsia"/>
          <w:b/>
          <w:bCs/>
          <w:sz w:val="28"/>
          <w:szCs w:val="28"/>
        </w:rPr>
        <w:t>五．合成标准不确定度</w:t>
      </w:r>
    </w:p>
    <w:p>
      <w:pPr>
        <w:widowControl w:val="0"/>
        <w:spacing w:line="360" w:lineRule="auto"/>
        <w:ind w:firstLine="643" w:firstLineChars="268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故将上述数据合成得</w:t>
      </w:r>
      <w:r>
        <w:rPr>
          <w:rFonts w:ascii="Times New Roman" w:hAnsi="Times New Roman" w:eastAsia="楷体_GB2312" w:cs="Times New Roman"/>
          <w:lang w:val="zh-CN"/>
        </w:rPr>
        <w:t>注射用水pH值</w:t>
      </w:r>
      <w:r>
        <w:rPr>
          <w:rFonts w:hint="eastAsia" w:ascii="Times New Roman" w:hAnsi="Times New Roman" w:eastAsia="楷体_GB2312" w:cs="Times New Roman"/>
          <w:lang w:val="zh-CN"/>
        </w:rPr>
        <w:t>测定</w:t>
      </w:r>
      <w:r>
        <w:rPr>
          <w:rFonts w:ascii="Times New Roman" w:hAnsi="Times New Roman" w:eastAsia="楷体_GB2312" w:cs="Times New Roman"/>
          <w:szCs w:val="28"/>
        </w:rPr>
        <w:t>结果</w:t>
      </w:r>
      <w:r>
        <w:rPr>
          <w:rFonts w:ascii="Times New Roman" w:hAnsi="Times New Roman" w:eastAsia="楷体_GB2312" w:cs="Times New Roman"/>
        </w:rPr>
        <w:t>合成标准不确定度为：</w:t>
      </w:r>
    </w:p>
    <w:p>
      <w:pPr>
        <w:autoSpaceDE w:val="0"/>
        <w:autoSpaceDN w:val="0"/>
        <w:adjustRightInd w:val="0"/>
        <w:spacing w:line="360" w:lineRule="auto"/>
        <w:ind w:firstLine="600" w:firstLineChars="25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仿宋_GB2312" w:cs="Times New Roman"/>
          <w:position w:val="-14"/>
        </w:rPr>
        <w:object>
          <v:shape id="_x0000_i1028" o:spt="75" type="#_x0000_t75" style="height:23.1pt;width:95.1pt;" o:ole="t" filled="f" coordsize="21600,21600">
            <v:path/>
            <v:fill on="f" focussize="0,0"/>
            <v:stroke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7" r:id="rId14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=</w:t>
      </w:r>
      <w:r>
        <w:rPr>
          <w:rFonts w:ascii="Times New Roman" w:hAnsi="Times New Roman" w:eastAsia="楷体_GB2312" w:cs="Times New Roman"/>
        </w:rPr>
        <w:t>0.013</w:t>
      </w:r>
    </w:p>
    <w:p>
      <w:pPr>
        <w:widowControl w:val="0"/>
        <w:spacing w:line="360" w:lineRule="auto"/>
        <w:rPr>
          <w:rFonts w:ascii="Times New Roman" w:hAnsi="Times New Roman" w:cs="Times New Roman" w:eastAsiaTheme="majorEastAsia"/>
          <w:b/>
          <w:bCs/>
          <w:sz w:val="28"/>
          <w:szCs w:val="28"/>
        </w:rPr>
      </w:pPr>
      <w:r>
        <w:rPr>
          <w:rFonts w:ascii="Times New Roman" w:cs="Times New Roman" w:hAnsiTheme="majorEastAsia" w:eastAsiaTheme="majorEastAsia"/>
          <w:b/>
          <w:bCs/>
          <w:sz w:val="28"/>
          <w:szCs w:val="28"/>
        </w:rPr>
        <w:t>六．扩展不确定度</w:t>
      </w:r>
    </w:p>
    <w:p>
      <w:pPr>
        <w:widowControl w:val="0"/>
        <w:spacing w:line="360" w:lineRule="auto"/>
        <w:ind w:firstLine="600" w:firstLineChars="250"/>
        <w:jc w:val="center"/>
        <w:rPr>
          <w:rFonts w:ascii="Times New Roman" w:hAnsi="Times New Roman" w:cs="Times New Roman" w:eastAsiaTheme="majorEastAsia"/>
          <w:b/>
          <w:bCs/>
          <w:sz w:val="28"/>
          <w:szCs w:val="28"/>
        </w:rPr>
      </w:pPr>
      <w:r>
        <w:rPr>
          <w:rFonts w:ascii="Times New Roman" w:hAnsi="Times New Roman" w:eastAsia="楷体_GB2312" w:cs="Times New Roman"/>
          <w:bCs/>
          <w:i/>
        </w:rPr>
        <w:t>U</w:t>
      </w:r>
      <w:r>
        <w:rPr>
          <w:rFonts w:ascii="Times New Roman" w:hAnsi="Times New Roman" w:eastAsia="楷体_GB2312" w:cs="Times New Roman"/>
          <w:bCs/>
        </w:rPr>
        <w:t>=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楷体_GB2312" w:cs="Times New Roman"/>
          <w:i/>
        </w:rPr>
        <w:t>u</w:t>
      </w:r>
      <w:r>
        <w:rPr>
          <w:rFonts w:ascii="Times New Roman" w:hAnsi="Times New Roman" w:eastAsia="楷体_GB2312" w:cs="Times New Roman"/>
          <w:vertAlign w:val="subscript"/>
        </w:rPr>
        <w:t>c</w:t>
      </w:r>
      <w:r>
        <w:rPr>
          <w:rFonts w:ascii="Times New Roman" w:hAnsi="Times New Roman" w:eastAsia="楷体_GB2312" w:cs="Times New Roman"/>
          <w:i/>
        </w:rPr>
        <w:t>=</w:t>
      </w:r>
      <w:r>
        <w:rPr>
          <w:rFonts w:ascii="Times New Roman" w:hAnsi="Times New Roman" w:eastAsia="楷体_GB2312" w:cs="Times New Roman"/>
        </w:rPr>
        <w:t>2</w:t>
      </w:r>
      <w:r>
        <w:rPr>
          <w:rFonts w:ascii="Times New Roman" w:hAnsi="Times New Roman" w:eastAsia="楷体_GB2312" w:cs="Times New Roman"/>
        </w:rPr>
        <w:sym w:font="Symbol" w:char="F0B4"/>
      </w:r>
      <w:r>
        <w:rPr>
          <w:rFonts w:ascii="Times New Roman" w:hAnsi="Times New Roman" w:eastAsia="楷体_GB2312" w:cs="Times New Roman"/>
        </w:rPr>
        <w:t>0.013=0.026（</w:t>
      </w:r>
      <w:r>
        <w:rPr>
          <w:rFonts w:ascii="Times New Roman" w:hAnsi="Times New Roman" w:eastAsia="楷体_GB2312" w:cs="Times New Roman"/>
          <w:bCs/>
          <w:i/>
        </w:rPr>
        <w:t>k</w:t>
      </w:r>
      <w:r>
        <w:rPr>
          <w:rFonts w:ascii="Times New Roman" w:hAnsi="Times New Roman" w:eastAsia="楷体_GB2312" w:cs="Times New Roman"/>
          <w:bCs/>
        </w:rPr>
        <w:t>=2</w:t>
      </w:r>
      <w:r>
        <w:rPr>
          <w:rFonts w:ascii="Times New Roman" w:hAnsi="Times New Roman" w:eastAsia="楷体_GB2312" w:cs="Times New Roman"/>
        </w:rPr>
        <w:t>）</w:t>
      </w:r>
    </w:p>
    <w:p>
      <w:pPr>
        <w:tabs>
          <w:tab w:val="left" w:pos="6645"/>
        </w:tabs>
        <w:spacing w:line="360" w:lineRule="auto"/>
        <w:rPr>
          <w:rFonts w:ascii="Times New Roman" w:hAnsi="Times New Roman" w:eastAsia="楷体_GB2312" w:cs="Times New Roman"/>
        </w:rPr>
      </w:pPr>
    </w:p>
    <w:p>
      <w:pPr>
        <w:tabs>
          <w:tab w:val="left" w:pos="6645"/>
        </w:tabs>
        <w:spacing w:line="360" w:lineRule="auto"/>
        <w:rPr>
          <w:rFonts w:ascii="Times New Roman" w:hAnsi="Times New Roman" w:eastAsia="楷体_GB2312" w:cs="Times New Roman"/>
        </w:rPr>
      </w:pPr>
    </w:p>
    <w:p>
      <w:pPr>
        <w:tabs>
          <w:tab w:val="left" w:pos="6645"/>
        </w:tabs>
        <w:spacing w:line="360" w:lineRule="auto"/>
        <w:ind w:firstLine="4620" w:firstLineChars="1650"/>
        <w:rPr>
          <w:rFonts w:ascii="Times New Roman" w:hAnsi="Times New Roman" w:eastAsia="楷体_GB2312" w:cs="Times New Roman"/>
          <w:sz w:val="28"/>
          <w:szCs w:val="28"/>
          <w:u w:val="single"/>
        </w:rPr>
      </w:pPr>
      <w:r>
        <w:rPr>
          <w:rFonts w:ascii="Times New Roman" w:hAnsi="Times New Roman" w:eastAsia="楷体_GB2312" w:cs="Times New Roman"/>
          <w:sz w:val="28"/>
          <w:szCs w:val="28"/>
        </w:rPr>
        <w:t>评定人：</w:t>
      </w:r>
      <w:r>
        <w:rPr>
          <w:rFonts w:hint="eastAsia" w:ascii="Times New Roman" w:hAnsi="Times New Roman" w:eastAsia="楷体_GB2312" w:cs="Times New Roman"/>
          <w:sz w:val="28"/>
          <w:szCs w:val="28"/>
        </w:rPr>
        <w:t xml:space="preserve">         </w:t>
      </w:r>
      <w:r>
        <w:rPr>
          <w:rFonts w:ascii="Times New Roman" w:hAnsi="Times New Roman" w:eastAsia="楷体_GB2312" w:cs="Times New Roman"/>
          <w:sz w:val="28"/>
          <w:szCs w:val="28"/>
        </w:rPr>
        <w:t>评定日期：</w:t>
      </w:r>
    </w:p>
    <w:p>
      <w:pPr>
        <w:tabs>
          <w:tab w:val="left" w:pos="6645"/>
        </w:tabs>
        <w:spacing w:line="360" w:lineRule="auto"/>
        <w:ind w:firstLine="4620" w:firstLineChars="1650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eastAsia="楷体_GB2312" w:cs="Times New Roman"/>
          <w:sz w:val="28"/>
          <w:szCs w:val="28"/>
        </w:rPr>
        <w:t>审核人：</w:t>
      </w:r>
      <w:r>
        <w:rPr>
          <w:rFonts w:hint="eastAsia" w:ascii="Times New Roman" w:hAnsi="Times New Roman" w:eastAsia="楷体_GB2312" w:cs="Times New Roman"/>
          <w:sz w:val="28"/>
          <w:szCs w:val="28"/>
        </w:rPr>
        <w:t xml:space="preserve">         </w:t>
      </w:r>
      <w:r>
        <w:rPr>
          <w:rFonts w:ascii="Times New Roman" w:hAnsi="Times New Roman" w:eastAsia="楷体_GB2312" w:cs="Times New Roman"/>
          <w:sz w:val="28"/>
          <w:szCs w:val="28"/>
        </w:rPr>
        <w:t>审核日期：</w:t>
      </w:r>
    </w:p>
    <w:sectPr>
      <w:footerReference r:id="rId5" w:type="default"/>
      <w:pgSz w:w="12240" w:h="15840"/>
      <w:pgMar w:top="1418" w:right="1134" w:bottom="1418" w:left="1418" w:header="720" w:footer="680" w:gutter="0"/>
      <w:pgNumType w:start="1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center" w:pos="4844"/>
        <w:tab w:val="right" w:pos="9688"/>
      </w:tabs>
      <w:rPr>
        <w:rFonts w:ascii="Times New Roman" w:hAnsi="Times New Roman" w:cs="Times New Roman"/>
      </w:rPr>
    </w:pPr>
    <w:r>
      <w:rPr>
        <w:i/>
        <w:iCs/>
        <w:sz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00" w:lineRule="exact"/>
      <w:rPr>
        <w:b/>
        <w:bCs/>
        <w:spacing w:val="20"/>
        <w:sz w:val="28"/>
        <w:szCs w:val="28"/>
      </w:rPr>
    </w:pPr>
    <w:r>
      <w:rPr>
        <w:b/>
        <w:bCs/>
        <w:spacing w:val="20"/>
        <w:sz w:val="18"/>
        <w:szCs w:val="18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13970</wp:posOffset>
          </wp:positionH>
          <wp:positionV relativeFrom="paragraph">
            <wp:posOffset>-30480</wp:posOffset>
          </wp:positionV>
          <wp:extent cx="1110615" cy="180975"/>
          <wp:effectExtent l="0" t="0" r="0" b="0"/>
          <wp:wrapSquare wrapText="bothSides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0931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>
      <w:rPr>
        <w:rFonts w:hint="eastAsia"/>
        <w:b/>
        <w:bCs/>
        <w:spacing w:val="20"/>
        <w:sz w:val="28"/>
        <w:szCs w:val="28"/>
      </w:rPr>
      <w:t>扬子江药业集团江苏海岸药业有限公司</w:t>
    </w:r>
  </w:p>
  <w:p>
    <w:pPr>
      <w:widowControl w:val="0"/>
      <w:spacing w:line="300" w:lineRule="exact"/>
      <w:jc w:val="center"/>
      <w:rPr>
        <w:rFonts w:ascii="Times New Roman" w:hAnsi="Times New Roman" w:cs="Times New Roman"/>
        <w:b/>
        <w:bCs/>
        <w:spacing w:val="20"/>
        <w:kern w:val="2"/>
        <w:sz w:val="28"/>
        <w:szCs w:val="28"/>
      </w:rPr>
    </w:pPr>
    <w:r>
      <w:rPr>
        <w:rFonts w:ascii="Times New Roman" w:hAnsi="Times New Roman" w:eastAsia="楷体_GB2312" w:cs="Times New Roman"/>
        <w:b/>
        <w:i/>
        <w:kern w:val="2"/>
        <w:sz w:val="21"/>
        <w:szCs w:val="21"/>
        <w:u w:val="single"/>
      </w:rPr>
      <w:t>YangtzeRiverPharmaceuticalGroup JiangsuHAI-</w:t>
    </w:r>
    <w:r>
      <w:rPr>
        <w:rFonts w:hint="eastAsia" w:ascii="Times New Roman" w:hAnsi="Times New Roman" w:eastAsia="楷体_GB2312" w:cs="Times New Roman"/>
        <w:b/>
        <w:i/>
        <w:kern w:val="2"/>
        <w:sz w:val="21"/>
        <w:szCs w:val="21"/>
        <w:u w:val="single"/>
      </w:rPr>
      <w:t>LING</w:t>
    </w:r>
    <w:r>
      <w:rPr>
        <w:rFonts w:ascii="Times New Roman" w:hAnsi="Times New Roman" w:eastAsia="楷体_GB2312" w:cs="Times New Roman"/>
        <w:b/>
        <w:i/>
        <w:kern w:val="2"/>
        <w:sz w:val="21"/>
        <w:szCs w:val="21"/>
        <w:u w:val="single"/>
      </w:rPr>
      <w:t>PharmaceuticalCo.,Ltd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561F7"/>
    <w:multiLevelType w:val="multilevel"/>
    <w:tmpl w:val="2C1561F7"/>
    <w:lvl w:ilvl="0" w:tentative="0">
      <w:start w:val="1"/>
      <w:numFmt w:val="decimal"/>
      <w:lvlText w:val="%1、"/>
      <w:lvlJc w:val="left"/>
      <w:pPr>
        <w:ind w:left="80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86" w:hanging="420"/>
      </w:pPr>
    </w:lvl>
    <w:lvl w:ilvl="2" w:tentative="0">
      <w:start w:val="1"/>
      <w:numFmt w:val="lowerRoman"/>
      <w:lvlText w:val="%3."/>
      <w:lvlJc w:val="right"/>
      <w:pPr>
        <w:ind w:left="1706" w:hanging="420"/>
      </w:pPr>
    </w:lvl>
    <w:lvl w:ilvl="3" w:tentative="0">
      <w:start w:val="1"/>
      <w:numFmt w:val="decimal"/>
      <w:lvlText w:val="%4."/>
      <w:lvlJc w:val="left"/>
      <w:pPr>
        <w:ind w:left="2126" w:hanging="420"/>
      </w:pPr>
    </w:lvl>
    <w:lvl w:ilvl="4" w:tentative="0">
      <w:start w:val="1"/>
      <w:numFmt w:val="lowerLetter"/>
      <w:lvlText w:val="%5)"/>
      <w:lvlJc w:val="left"/>
      <w:pPr>
        <w:ind w:left="2546" w:hanging="420"/>
      </w:pPr>
    </w:lvl>
    <w:lvl w:ilvl="5" w:tentative="0">
      <w:start w:val="1"/>
      <w:numFmt w:val="lowerRoman"/>
      <w:lvlText w:val="%6."/>
      <w:lvlJc w:val="right"/>
      <w:pPr>
        <w:ind w:left="2966" w:hanging="420"/>
      </w:pPr>
    </w:lvl>
    <w:lvl w:ilvl="6" w:tentative="0">
      <w:start w:val="1"/>
      <w:numFmt w:val="decimal"/>
      <w:lvlText w:val="%7."/>
      <w:lvlJc w:val="left"/>
      <w:pPr>
        <w:ind w:left="3386" w:hanging="420"/>
      </w:pPr>
    </w:lvl>
    <w:lvl w:ilvl="7" w:tentative="0">
      <w:start w:val="1"/>
      <w:numFmt w:val="lowerLetter"/>
      <w:lvlText w:val="%8)"/>
      <w:lvlJc w:val="left"/>
      <w:pPr>
        <w:ind w:left="3806" w:hanging="420"/>
      </w:pPr>
    </w:lvl>
    <w:lvl w:ilvl="8" w:tentative="0">
      <w:start w:val="1"/>
      <w:numFmt w:val="lowerRoman"/>
      <w:lvlText w:val="%9."/>
      <w:lvlJc w:val="right"/>
      <w:pPr>
        <w:ind w:left="4226" w:hanging="420"/>
      </w:pPr>
    </w:lvl>
  </w:abstractNum>
  <w:abstractNum w:abstractNumId="1">
    <w:nsid w:val="43CA6C80"/>
    <w:multiLevelType w:val="multilevel"/>
    <w:tmpl w:val="43CA6C80"/>
    <w:lvl w:ilvl="0" w:tentative="0">
      <w:start w:val="1"/>
      <w:numFmt w:val="decimal"/>
      <w:lvlText w:val="%1、"/>
      <w:lvlJc w:val="left"/>
      <w:pPr>
        <w:ind w:left="80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86" w:hanging="420"/>
      </w:pPr>
    </w:lvl>
    <w:lvl w:ilvl="2" w:tentative="0">
      <w:start w:val="1"/>
      <w:numFmt w:val="lowerRoman"/>
      <w:lvlText w:val="%3."/>
      <w:lvlJc w:val="right"/>
      <w:pPr>
        <w:ind w:left="1706" w:hanging="420"/>
      </w:pPr>
    </w:lvl>
    <w:lvl w:ilvl="3" w:tentative="0">
      <w:start w:val="1"/>
      <w:numFmt w:val="decimal"/>
      <w:lvlText w:val="%4."/>
      <w:lvlJc w:val="left"/>
      <w:pPr>
        <w:ind w:left="2126" w:hanging="420"/>
      </w:pPr>
    </w:lvl>
    <w:lvl w:ilvl="4" w:tentative="0">
      <w:start w:val="1"/>
      <w:numFmt w:val="lowerLetter"/>
      <w:lvlText w:val="%5)"/>
      <w:lvlJc w:val="left"/>
      <w:pPr>
        <w:ind w:left="2546" w:hanging="420"/>
      </w:pPr>
    </w:lvl>
    <w:lvl w:ilvl="5" w:tentative="0">
      <w:start w:val="1"/>
      <w:numFmt w:val="lowerRoman"/>
      <w:lvlText w:val="%6."/>
      <w:lvlJc w:val="right"/>
      <w:pPr>
        <w:ind w:left="2966" w:hanging="420"/>
      </w:pPr>
    </w:lvl>
    <w:lvl w:ilvl="6" w:tentative="0">
      <w:start w:val="1"/>
      <w:numFmt w:val="decimal"/>
      <w:lvlText w:val="%7."/>
      <w:lvlJc w:val="left"/>
      <w:pPr>
        <w:ind w:left="3386" w:hanging="420"/>
      </w:pPr>
    </w:lvl>
    <w:lvl w:ilvl="7" w:tentative="0">
      <w:start w:val="1"/>
      <w:numFmt w:val="lowerLetter"/>
      <w:lvlText w:val="%8)"/>
      <w:lvlJc w:val="left"/>
      <w:pPr>
        <w:ind w:left="3806" w:hanging="420"/>
      </w:pPr>
    </w:lvl>
    <w:lvl w:ilvl="8" w:tentative="0">
      <w:start w:val="1"/>
      <w:numFmt w:val="lowerRoman"/>
      <w:lvlText w:val="%9."/>
      <w:lvlJc w:val="right"/>
      <w:pPr>
        <w:ind w:left="4226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79CC"/>
    <w:rsid w:val="0000005E"/>
    <w:rsid w:val="00001504"/>
    <w:rsid w:val="00013162"/>
    <w:rsid w:val="00013735"/>
    <w:rsid w:val="00017019"/>
    <w:rsid w:val="0002227E"/>
    <w:rsid w:val="00023757"/>
    <w:rsid w:val="00026CB9"/>
    <w:rsid w:val="000279E6"/>
    <w:rsid w:val="00027F1B"/>
    <w:rsid w:val="00031C29"/>
    <w:rsid w:val="00034ECA"/>
    <w:rsid w:val="00041F71"/>
    <w:rsid w:val="00042270"/>
    <w:rsid w:val="00043C40"/>
    <w:rsid w:val="000466D2"/>
    <w:rsid w:val="00053F80"/>
    <w:rsid w:val="00056442"/>
    <w:rsid w:val="000566B5"/>
    <w:rsid w:val="0005707C"/>
    <w:rsid w:val="00071C56"/>
    <w:rsid w:val="00072648"/>
    <w:rsid w:val="00072C27"/>
    <w:rsid w:val="00074548"/>
    <w:rsid w:val="000760A1"/>
    <w:rsid w:val="0009051A"/>
    <w:rsid w:val="00091C1B"/>
    <w:rsid w:val="000923C6"/>
    <w:rsid w:val="000A31D8"/>
    <w:rsid w:val="000A4B35"/>
    <w:rsid w:val="000B263A"/>
    <w:rsid w:val="000B34C5"/>
    <w:rsid w:val="000B5350"/>
    <w:rsid w:val="000B60D1"/>
    <w:rsid w:val="000C5E09"/>
    <w:rsid w:val="000C5EE7"/>
    <w:rsid w:val="000D1060"/>
    <w:rsid w:val="000D5529"/>
    <w:rsid w:val="000D6D07"/>
    <w:rsid w:val="000D75B4"/>
    <w:rsid w:val="000F2061"/>
    <w:rsid w:val="000F4605"/>
    <w:rsid w:val="000F5747"/>
    <w:rsid w:val="00104E8B"/>
    <w:rsid w:val="001076AF"/>
    <w:rsid w:val="00114E5F"/>
    <w:rsid w:val="00117A9A"/>
    <w:rsid w:val="00121E10"/>
    <w:rsid w:val="00123FCA"/>
    <w:rsid w:val="00132F13"/>
    <w:rsid w:val="00137020"/>
    <w:rsid w:val="00140511"/>
    <w:rsid w:val="0014125D"/>
    <w:rsid w:val="00143A44"/>
    <w:rsid w:val="0015235A"/>
    <w:rsid w:val="00153D78"/>
    <w:rsid w:val="00154DD8"/>
    <w:rsid w:val="00161F79"/>
    <w:rsid w:val="001707AF"/>
    <w:rsid w:val="001778A7"/>
    <w:rsid w:val="00181133"/>
    <w:rsid w:val="00183392"/>
    <w:rsid w:val="001928C7"/>
    <w:rsid w:val="00193C4E"/>
    <w:rsid w:val="00193FA9"/>
    <w:rsid w:val="001B3B09"/>
    <w:rsid w:val="001B42EF"/>
    <w:rsid w:val="001C7E5D"/>
    <w:rsid w:val="001D031D"/>
    <w:rsid w:val="001D0EC3"/>
    <w:rsid w:val="001D2DBE"/>
    <w:rsid w:val="001D438E"/>
    <w:rsid w:val="001D7A97"/>
    <w:rsid w:val="001E1454"/>
    <w:rsid w:val="001E2FD1"/>
    <w:rsid w:val="001E3282"/>
    <w:rsid w:val="001E372F"/>
    <w:rsid w:val="001F2988"/>
    <w:rsid w:val="001F424B"/>
    <w:rsid w:val="0020479C"/>
    <w:rsid w:val="0020749E"/>
    <w:rsid w:val="002114C8"/>
    <w:rsid w:val="00213009"/>
    <w:rsid w:val="00216758"/>
    <w:rsid w:val="0021742B"/>
    <w:rsid w:val="002271E7"/>
    <w:rsid w:val="00232E37"/>
    <w:rsid w:val="00234F03"/>
    <w:rsid w:val="00235AA3"/>
    <w:rsid w:val="0023620D"/>
    <w:rsid w:val="0024316A"/>
    <w:rsid w:val="00243558"/>
    <w:rsid w:val="00244251"/>
    <w:rsid w:val="00244F98"/>
    <w:rsid w:val="002527A3"/>
    <w:rsid w:val="00253CF2"/>
    <w:rsid w:val="00256921"/>
    <w:rsid w:val="0025723C"/>
    <w:rsid w:val="00260C88"/>
    <w:rsid w:val="00261591"/>
    <w:rsid w:val="0026236D"/>
    <w:rsid w:val="002632D7"/>
    <w:rsid w:val="00264F7C"/>
    <w:rsid w:val="0026694A"/>
    <w:rsid w:val="00267983"/>
    <w:rsid w:val="00267E5F"/>
    <w:rsid w:val="00286083"/>
    <w:rsid w:val="00286A58"/>
    <w:rsid w:val="00286D02"/>
    <w:rsid w:val="002A0A2C"/>
    <w:rsid w:val="002A3C22"/>
    <w:rsid w:val="002A3E32"/>
    <w:rsid w:val="002B07E5"/>
    <w:rsid w:val="002B249E"/>
    <w:rsid w:val="002B5DD8"/>
    <w:rsid w:val="002B7A60"/>
    <w:rsid w:val="002C0FDB"/>
    <w:rsid w:val="002E5F78"/>
    <w:rsid w:val="002E6A22"/>
    <w:rsid w:val="002E7A0A"/>
    <w:rsid w:val="002F4123"/>
    <w:rsid w:val="002F5D7C"/>
    <w:rsid w:val="00306D44"/>
    <w:rsid w:val="0031487E"/>
    <w:rsid w:val="00326DE9"/>
    <w:rsid w:val="0034397F"/>
    <w:rsid w:val="0034648E"/>
    <w:rsid w:val="00352B89"/>
    <w:rsid w:val="00355DBF"/>
    <w:rsid w:val="00365E72"/>
    <w:rsid w:val="00367102"/>
    <w:rsid w:val="0037008E"/>
    <w:rsid w:val="003755C9"/>
    <w:rsid w:val="0038510B"/>
    <w:rsid w:val="003905C6"/>
    <w:rsid w:val="00390D33"/>
    <w:rsid w:val="003941E7"/>
    <w:rsid w:val="003A40E8"/>
    <w:rsid w:val="003B3191"/>
    <w:rsid w:val="003C23D6"/>
    <w:rsid w:val="003C282A"/>
    <w:rsid w:val="003C5B20"/>
    <w:rsid w:val="003D65CE"/>
    <w:rsid w:val="003D765C"/>
    <w:rsid w:val="003E0C60"/>
    <w:rsid w:val="003E5CBC"/>
    <w:rsid w:val="003F2BD7"/>
    <w:rsid w:val="003F4668"/>
    <w:rsid w:val="00410703"/>
    <w:rsid w:val="00411E77"/>
    <w:rsid w:val="00412EEB"/>
    <w:rsid w:val="004203C2"/>
    <w:rsid w:val="00420F2E"/>
    <w:rsid w:val="00425220"/>
    <w:rsid w:val="0042535B"/>
    <w:rsid w:val="00444920"/>
    <w:rsid w:val="004629AB"/>
    <w:rsid w:val="004739B5"/>
    <w:rsid w:val="004754AA"/>
    <w:rsid w:val="00483765"/>
    <w:rsid w:val="004840AC"/>
    <w:rsid w:val="0048470B"/>
    <w:rsid w:val="0049326B"/>
    <w:rsid w:val="004A0FBF"/>
    <w:rsid w:val="004A4D6F"/>
    <w:rsid w:val="004A5A91"/>
    <w:rsid w:val="004B148A"/>
    <w:rsid w:val="004C1B47"/>
    <w:rsid w:val="004D0972"/>
    <w:rsid w:val="004D382E"/>
    <w:rsid w:val="004D39AD"/>
    <w:rsid w:val="004D6212"/>
    <w:rsid w:val="004D7B9D"/>
    <w:rsid w:val="004E434F"/>
    <w:rsid w:val="004E4D3F"/>
    <w:rsid w:val="00507D28"/>
    <w:rsid w:val="005155A5"/>
    <w:rsid w:val="005205BA"/>
    <w:rsid w:val="00527C95"/>
    <w:rsid w:val="00530AEF"/>
    <w:rsid w:val="00532652"/>
    <w:rsid w:val="005427EE"/>
    <w:rsid w:val="00543776"/>
    <w:rsid w:val="005468F9"/>
    <w:rsid w:val="005536AB"/>
    <w:rsid w:val="005540F8"/>
    <w:rsid w:val="00554C5A"/>
    <w:rsid w:val="00567B42"/>
    <w:rsid w:val="00572585"/>
    <w:rsid w:val="00572F54"/>
    <w:rsid w:val="00574EB2"/>
    <w:rsid w:val="00577985"/>
    <w:rsid w:val="00581F20"/>
    <w:rsid w:val="00582E07"/>
    <w:rsid w:val="00587982"/>
    <w:rsid w:val="00592F6A"/>
    <w:rsid w:val="005A394F"/>
    <w:rsid w:val="005B050E"/>
    <w:rsid w:val="005B4B68"/>
    <w:rsid w:val="005C50C6"/>
    <w:rsid w:val="005C5E50"/>
    <w:rsid w:val="005C76BF"/>
    <w:rsid w:val="005D54E7"/>
    <w:rsid w:val="005D5E6E"/>
    <w:rsid w:val="005E3443"/>
    <w:rsid w:val="005E4165"/>
    <w:rsid w:val="005E5031"/>
    <w:rsid w:val="005F257A"/>
    <w:rsid w:val="005F309D"/>
    <w:rsid w:val="0061377C"/>
    <w:rsid w:val="00615005"/>
    <w:rsid w:val="00627277"/>
    <w:rsid w:val="00634637"/>
    <w:rsid w:val="00636A2C"/>
    <w:rsid w:val="00637C39"/>
    <w:rsid w:val="00640A1F"/>
    <w:rsid w:val="006453B3"/>
    <w:rsid w:val="006538EC"/>
    <w:rsid w:val="00653CC2"/>
    <w:rsid w:val="00656634"/>
    <w:rsid w:val="00662487"/>
    <w:rsid w:val="00662CB2"/>
    <w:rsid w:val="00664860"/>
    <w:rsid w:val="00672E0E"/>
    <w:rsid w:val="0067720E"/>
    <w:rsid w:val="00685FDA"/>
    <w:rsid w:val="00690042"/>
    <w:rsid w:val="00691617"/>
    <w:rsid w:val="00692FA9"/>
    <w:rsid w:val="00696E72"/>
    <w:rsid w:val="006A4936"/>
    <w:rsid w:val="006A4BE2"/>
    <w:rsid w:val="006B2981"/>
    <w:rsid w:val="006B4357"/>
    <w:rsid w:val="006B55F2"/>
    <w:rsid w:val="006B7012"/>
    <w:rsid w:val="006C0C0E"/>
    <w:rsid w:val="006C3773"/>
    <w:rsid w:val="006C4ACC"/>
    <w:rsid w:val="006C681F"/>
    <w:rsid w:val="006D6EF8"/>
    <w:rsid w:val="006D735E"/>
    <w:rsid w:val="006E0209"/>
    <w:rsid w:val="006E0290"/>
    <w:rsid w:val="006E1F88"/>
    <w:rsid w:val="006E55CA"/>
    <w:rsid w:val="006E7C4D"/>
    <w:rsid w:val="006F28D9"/>
    <w:rsid w:val="006F39AA"/>
    <w:rsid w:val="006F6CCD"/>
    <w:rsid w:val="007027C2"/>
    <w:rsid w:val="00703D55"/>
    <w:rsid w:val="007044B1"/>
    <w:rsid w:val="007065E2"/>
    <w:rsid w:val="00710102"/>
    <w:rsid w:val="00710EF4"/>
    <w:rsid w:val="0072085C"/>
    <w:rsid w:val="007344E0"/>
    <w:rsid w:val="00741D66"/>
    <w:rsid w:val="007446C8"/>
    <w:rsid w:val="00745A58"/>
    <w:rsid w:val="007549CC"/>
    <w:rsid w:val="0075685C"/>
    <w:rsid w:val="00761449"/>
    <w:rsid w:val="007637AD"/>
    <w:rsid w:val="00767169"/>
    <w:rsid w:val="00774CB1"/>
    <w:rsid w:val="00780C96"/>
    <w:rsid w:val="007821F6"/>
    <w:rsid w:val="007834A0"/>
    <w:rsid w:val="0079162B"/>
    <w:rsid w:val="007B0CC9"/>
    <w:rsid w:val="007B1A58"/>
    <w:rsid w:val="007B5AF1"/>
    <w:rsid w:val="007B71A9"/>
    <w:rsid w:val="007C011D"/>
    <w:rsid w:val="007C7A07"/>
    <w:rsid w:val="007D1D56"/>
    <w:rsid w:val="007D52D8"/>
    <w:rsid w:val="007E0C4D"/>
    <w:rsid w:val="007E2337"/>
    <w:rsid w:val="007F3F5B"/>
    <w:rsid w:val="0080367C"/>
    <w:rsid w:val="008112C5"/>
    <w:rsid w:val="00812CF0"/>
    <w:rsid w:val="00813B12"/>
    <w:rsid w:val="00822644"/>
    <w:rsid w:val="00823901"/>
    <w:rsid w:val="008259C4"/>
    <w:rsid w:val="00827FED"/>
    <w:rsid w:val="00830C35"/>
    <w:rsid w:val="008336CE"/>
    <w:rsid w:val="00835907"/>
    <w:rsid w:val="008377BD"/>
    <w:rsid w:val="008457B7"/>
    <w:rsid w:val="00846D73"/>
    <w:rsid w:val="00850F3D"/>
    <w:rsid w:val="008624FA"/>
    <w:rsid w:val="00863205"/>
    <w:rsid w:val="0086553D"/>
    <w:rsid w:val="00866FC1"/>
    <w:rsid w:val="00870E37"/>
    <w:rsid w:val="00881490"/>
    <w:rsid w:val="0089071C"/>
    <w:rsid w:val="00891377"/>
    <w:rsid w:val="008952B5"/>
    <w:rsid w:val="008A0F8C"/>
    <w:rsid w:val="008A32BC"/>
    <w:rsid w:val="008A3A1B"/>
    <w:rsid w:val="008A40B0"/>
    <w:rsid w:val="008A75F1"/>
    <w:rsid w:val="008B1219"/>
    <w:rsid w:val="008B7DE7"/>
    <w:rsid w:val="008C3C0C"/>
    <w:rsid w:val="008C4E35"/>
    <w:rsid w:val="008C651E"/>
    <w:rsid w:val="008C7BA4"/>
    <w:rsid w:val="008D57A1"/>
    <w:rsid w:val="008E00E3"/>
    <w:rsid w:val="008E0F11"/>
    <w:rsid w:val="008E1B41"/>
    <w:rsid w:val="008E431E"/>
    <w:rsid w:val="008E65A9"/>
    <w:rsid w:val="008F0BA3"/>
    <w:rsid w:val="008F2308"/>
    <w:rsid w:val="008F40AC"/>
    <w:rsid w:val="008F7908"/>
    <w:rsid w:val="009016A5"/>
    <w:rsid w:val="00902CAF"/>
    <w:rsid w:val="0090428F"/>
    <w:rsid w:val="009144C4"/>
    <w:rsid w:val="00931E36"/>
    <w:rsid w:val="00933E93"/>
    <w:rsid w:val="00933F89"/>
    <w:rsid w:val="00937459"/>
    <w:rsid w:val="00941231"/>
    <w:rsid w:val="00941F0E"/>
    <w:rsid w:val="00942AB2"/>
    <w:rsid w:val="0094497C"/>
    <w:rsid w:val="00944DEF"/>
    <w:rsid w:val="00947082"/>
    <w:rsid w:val="009474EF"/>
    <w:rsid w:val="00950CCC"/>
    <w:rsid w:val="00952C90"/>
    <w:rsid w:val="00954D82"/>
    <w:rsid w:val="00960571"/>
    <w:rsid w:val="0096203F"/>
    <w:rsid w:val="00964E3F"/>
    <w:rsid w:val="00965D23"/>
    <w:rsid w:val="00984D85"/>
    <w:rsid w:val="0098666F"/>
    <w:rsid w:val="00993213"/>
    <w:rsid w:val="00995C54"/>
    <w:rsid w:val="009A6B7B"/>
    <w:rsid w:val="009B1CBF"/>
    <w:rsid w:val="009B52AC"/>
    <w:rsid w:val="009B5852"/>
    <w:rsid w:val="009C1CE8"/>
    <w:rsid w:val="009C1F6B"/>
    <w:rsid w:val="009C6F6A"/>
    <w:rsid w:val="009D02D2"/>
    <w:rsid w:val="009D0F45"/>
    <w:rsid w:val="009D1A4F"/>
    <w:rsid w:val="009D6689"/>
    <w:rsid w:val="009E067A"/>
    <w:rsid w:val="009E4583"/>
    <w:rsid w:val="009E5C4D"/>
    <w:rsid w:val="009F0267"/>
    <w:rsid w:val="009F0657"/>
    <w:rsid w:val="009F2F34"/>
    <w:rsid w:val="009F46B1"/>
    <w:rsid w:val="009F6F34"/>
    <w:rsid w:val="009F79D0"/>
    <w:rsid w:val="00A017A7"/>
    <w:rsid w:val="00A01FFA"/>
    <w:rsid w:val="00A03FEE"/>
    <w:rsid w:val="00A22919"/>
    <w:rsid w:val="00A31F3F"/>
    <w:rsid w:val="00A342D3"/>
    <w:rsid w:val="00A37E07"/>
    <w:rsid w:val="00A50480"/>
    <w:rsid w:val="00A51417"/>
    <w:rsid w:val="00A55267"/>
    <w:rsid w:val="00A55A5F"/>
    <w:rsid w:val="00A55ED9"/>
    <w:rsid w:val="00A606BA"/>
    <w:rsid w:val="00A664B8"/>
    <w:rsid w:val="00A67804"/>
    <w:rsid w:val="00A71765"/>
    <w:rsid w:val="00A76735"/>
    <w:rsid w:val="00A76AAD"/>
    <w:rsid w:val="00A77D90"/>
    <w:rsid w:val="00A827D4"/>
    <w:rsid w:val="00A905BA"/>
    <w:rsid w:val="00A94B2E"/>
    <w:rsid w:val="00A951A1"/>
    <w:rsid w:val="00AB01F9"/>
    <w:rsid w:val="00AB573C"/>
    <w:rsid w:val="00AB69E7"/>
    <w:rsid w:val="00AB7447"/>
    <w:rsid w:val="00AD1FEB"/>
    <w:rsid w:val="00AD20D8"/>
    <w:rsid w:val="00AD3F12"/>
    <w:rsid w:val="00AE3B20"/>
    <w:rsid w:val="00AE50FA"/>
    <w:rsid w:val="00AF1BAA"/>
    <w:rsid w:val="00AF4624"/>
    <w:rsid w:val="00AF5576"/>
    <w:rsid w:val="00B003E1"/>
    <w:rsid w:val="00B01E6A"/>
    <w:rsid w:val="00B02E78"/>
    <w:rsid w:val="00B04481"/>
    <w:rsid w:val="00B07226"/>
    <w:rsid w:val="00B07EEC"/>
    <w:rsid w:val="00B15478"/>
    <w:rsid w:val="00B1558C"/>
    <w:rsid w:val="00B3072A"/>
    <w:rsid w:val="00B336C8"/>
    <w:rsid w:val="00B3400A"/>
    <w:rsid w:val="00B3602D"/>
    <w:rsid w:val="00B37415"/>
    <w:rsid w:val="00B419AB"/>
    <w:rsid w:val="00B42301"/>
    <w:rsid w:val="00B425BF"/>
    <w:rsid w:val="00B42BA3"/>
    <w:rsid w:val="00B4374B"/>
    <w:rsid w:val="00B4597F"/>
    <w:rsid w:val="00B5479C"/>
    <w:rsid w:val="00B56E0C"/>
    <w:rsid w:val="00B74670"/>
    <w:rsid w:val="00B776A5"/>
    <w:rsid w:val="00B87321"/>
    <w:rsid w:val="00B9428E"/>
    <w:rsid w:val="00B944D9"/>
    <w:rsid w:val="00B94EDB"/>
    <w:rsid w:val="00BA20CF"/>
    <w:rsid w:val="00BB685C"/>
    <w:rsid w:val="00BB7901"/>
    <w:rsid w:val="00BD2BE5"/>
    <w:rsid w:val="00BD430F"/>
    <w:rsid w:val="00BD4472"/>
    <w:rsid w:val="00BE6F3F"/>
    <w:rsid w:val="00BF5E5D"/>
    <w:rsid w:val="00BF6D05"/>
    <w:rsid w:val="00C01ADE"/>
    <w:rsid w:val="00C01ED8"/>
    <w:rsid w:val="00C03D38"/>
    <w:rsid w:val="00C048A1"/>
    <w:rsid w:val="00C0495C"/>
    <w:rsid w:val="00C100B3"/>
    <w:rsid w:val="00C10ACF"/>
    <w:rsid w:val="00C11504"/>
    <w:rsid w:val="00C167C0"/>
    <w:rsid w:val="00C23753"/>
    <w:rsid w:val="00C23D43"/>
    <w:rsid w:val="00C24DF5"/>
    <w:rsid w:val="00C250D2"/>
    <w:rsid w:val="00C2562F"/>
    <w:rsid w:val="00C26B7A"/>
    <w:rsid w:val="00C279CC"/>
    <w:rsid w:val="00C27D0F"/>
    <w:rsid w:val="00C27E3F"/>
    <w:rsid w:val="00C34D2C"/>
    <w:rsid w:val="00C35455"/>
    <w:rsid w:val="00C40139"/>
    <w:rsid w:val="00C421AF"/>
    <w:rsid w:val="00C43B1D"/>
    <w:rsid w:val="00C443B0"/>
    <w:rsid w:val="00C46C73"/>
    <w:rsid w:val="00C50BE9"/>
    <w:rsid w:val="00C51156"/>
    <w:rsid w:val="00C52F22"/>
    <w:rsid w:val="00C5553C"/>
    <w:rsid w:val="00C5756F"/>
    <w:rsid w:val="00C61F61"/>
    <w:rsid w:val="00C65A4B"/>
    <w:rsid w:val="00C72409"/>
    <w:rsid w:val="00C74BD1"/>
    <w:rsid w:val="00C765FA"/>
    <w:rsid w:val="00C77754"/>
    <w:rsid w:val="00C868BD"/>
    <w:rsid w:val="00C93B21"/>
    <w:rsid w:val="00C946C4"/>
    <w:rsid w:val="00C94AEC"/>
    <w:rsid w:val="00C95E80"/>
    <w:rsid w:val="00CA73A3"/>
    <w:rsid w:val="00CC2FCA"/>
    <w:rsid w:val="00CC6022"/>
    <w:rsid w:val="00CD1276"/>
    <w:rsid w:val="00CD269F"/>
    <w:rsid w:val="00CD4FFD"/>
    <w:rsid w:val="00CD62A1"/>
    <w:rsid w:val="00CD77CC"/>
    <w:rsid w:val="00CF01E4"/>
    <w:rsid w:val="00CF083D"/>
    <w:rsid w:val="00CF7794"/>
    <w:rsid w:val="00D001AB"/>
    <w:rsid w:val="00D00A0B"/>
    <w:rsid w:val="00D016FF"/>
    <w:rsid w:val="00D02F9E"/>
    <w:rsid w:val="00D148CA"/>
    <w:rsid w:val="00D162AC"/>
    <w:rsid w:val="00D20381"/>
    <w:rsid w:val="00D2217B"/>
    <w:rsid w:val="00D33D05"/>
    <w:rsid w:val="00D375C8"/>
    <w:rsid w:val="00D37DEE"/>
    <w:rsid w:val="00D406AB"/>
    <w:rsid w:val="00D5062D"/>
    <w:rsid w:val="00D647A1"/>
    <w:rsid w:val="00D648B5"/>
    <w:rsid w:val="00D66D65"/>
    <w:rsid w:val="00D67C41"/>
    <w:rsid w:val="00D7058E"/>
    <w:rsid w:val="00D729B1"/>
    <w:rsid w:val="00D80444"/>
    <w:rsid w:val="00D81F52"/>
    <w:rsid w:val="00D82C0B"/>
    <w:rsid w:val="00D852B8"/>
    <w:rsid w:val="00D915A1"/>
    <w:rsid w:val="00D9303A"/>
    <w:rsid w:val="00D93067"/>
    <w:rsid w:val="00DA3178"/>
    <w:rsid w:val="00DA6FA9"/>
    <w:rsid w:val="00DB3779"/>
    <w:rsid w:val="00DB3787"/>
    <w:rsid w:val="00DC05F7"/>
    <w:rsid w:val="00DC1307"/>
    <w:rsid w:val="00DC19C3"/>
    <w:rsid w:val="00DC27D6"/>
    <w:rsid w:val="00DC6635"/>
    <w:rsid w:val="00DD1DE0"/>
    <w:rsid w:val="00DD2C25"/>
    <w:rsid w:val="00DD330A"/>
    <w:rsid w:val="00DD3946"/>
    <w:rsid w:val="00DD4AC9"/>
    <w:rsid w:val="00DE6B55"/>
    <w:rsid w:val="00DF0504"/>
    <w:rsid w:val="00DF1D89"/>
    <w:rsid w:val="00DF4DBE"/>
    <w:rsid w:val="00E02A01"/>
    <w:rsid w:val="00E03620"/>
    <w:rsid w:val="00E03783"/>
    <w:rsid w:val="00E061A4"/>
    <w:rsid w:val="00E06651"/>
    <w:rsid w:val="00E14A33"/>
    <w:rsid w:val="00E219FB"/>
    <w:rsid w:val="00E225B7"/>
    <w:rsid w:val="00E27FC6"/>
    <w:rsid w:val="00E32DDC"/>
    <w:rsid w:val="00E37E06"/>
    <w:rsid w:val="00E44486"/>
    <w:rsid w:val="00E54C48"/>
    <w:rsid w:val="00E55A47"/>
    <w:rsid w:val="00E56F0B"/>
    <w:rsid w:val="00E577C8"/>
    <w:rsid w:val="00E64E77"/>
    <w:rsid w:val="00E655F7"/>
    <w:rsid w:val="00E70713"/>
    <w:rsid w:val="00E71280"/>
    <w:rsid w:val="00E82DBA"/>
    <w:rsid w:val="00E8491D"/>
    <w:rsid w:val="00E85F12"/>
    <w:rsid w:val="00E95951"/>
    <w:rsid w:val="00EA1E5B"/>
    <w:rsid w:val="00EA2C05"/>
    <w:rsid w:val="00EA3F64"/>
    <w:rsid w:val="00EA4428"/>
    <w:rsid w:val="00EA6209"/>
    <w:rsid w:val="00EA649F"/>
    <w:rsid w:val="00EB54A1"/>
    <w:rsid w:val="00EB6CED"/>
    <w:rsid w:val="00EC3036"/>
    <w:rsid w:val="00EC3BA6"/>
    <w:rsid w:val="00ED249A"/>
    <w:rsid w:val="00ED2D73"/>
    <w:rsid w:val="00ED3D32"/>
    <w:rsid w:val="00EE2480"/>
    <w:rsid w:val="00EE58AF"/>
    <w:rsid w:val="00EE66A3"/>
    <w:rsid w:val="00EF0368"/>
    <w:rsid w:val="00EF7107"/>
    <w:rsid w:val="00F03B5A"/>
    <w:rsid w:val="00F077D9"/>
    <w:rsid w:val="00F0788E"/>
    <w:rsid w:val="00F14A55"/>
    <w:rsid w:val="00F15257"/>
    <w:rsid w:val="00F24C57"/>
    <w:rsid w:val="00F376F3"/>
    <w:rsid w:val="00F4212E"/>
    <w:rsid w:val="00F564BD"/>
    <w:rsid w:val="00F60B2E"/>
    <w:rsid w:val="00F6134D"/>
    <w:rsid w:val="00F650CC"/>
    <w:rsid w:val="00F6638C"/>
    <w:rsid w:val="00F72960"/>
    <w:rsid w:val="00F73739"/>
    <w:rsid w:val="00F74ABE"/>
    <w:rsid w:val="00F77767"/>
    <w:rsid w:val="00F85F6B"/>
    <w:rsid w:val="00F9428F"/>
    <w:rsid w:val="00FA5F74"/>
    <w:rsid w:val="00FA6FDE"/>
    <w:rsid w:val="00FA7BDB"/>
    <w:rsid w:val="00FB68D7"/>
    <w:rsid w:val="00FC2C79"/>
    <w:rsid w:val="00FC2EC8"/>
    <w:rsid w:val="00FD40B8"/>
    <w:rsid w:val="00FD6D2C"/>
    <w:rsid w:val="00FD7D2C"/>
    <w:rsid w:val="00FF0CA7"/>
    <w:rsid w:val="00FF127E"/>
    <w:rsid w:val="00FF1D49"/>
    <w:rsid w:val="325946B4"/>
    <w:rsid w:val="6E6D1AC7"/>
    <w:rsid w:val="762A1F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qFormat/>
    <w:uiPriority w:val="0"/>
  </w:style>
  <w:style w:type="paragraph" w:styleId="3">
    <w:name w:val="Plain Text"/>
    <w:basedOn w:val="1"/>
    <w:qFormat/>
    <w:uiPriority w:val="0"/>
    <w:pPr>
      <w:widowControl w:val="0"/>
      <w:wordWrap w:val="0"/>
      <w:autoSpaceDE w:val="0"/>
      <w:autoSpaceDN w:val="0"/>
      <w:adjustRightInd w:val="0"/>
      <w:snapToGrid w:val="0"/>
      <w:ind w:firstLine="573"/>
      <w:jc w:val="both"/>
    </w:pPr>
    <w:rPr>
      <w:rFonts w:hAnsi="Courier New" w:eastAsia="仿宋_GB2312" w:cs="Times New Roman"/>
      <w:sz w:val="28"/>
      <w:szCs w:val="20"/>
    </w:r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0"/>
    <w:pPr>
      <w:spacing w:before="100" w:beforeAutospacing="1" w:after="100" w:afterAutospacing="1"/>
    </w:pPr>
  </w:style>
  <w:style w:type="paragraph" w:styleId="8">
    <w:name w:val="annotation subject"/>
    <w:basedOn w:val="2"/>
    <w:next w:val="2"/>
    <w:link w:val="20"/>
    <w:qFormat/>
    <w:uiPriority w:val="0"/>
    <w:rPr>
      <w:b/>
      <w:bCs/>
    </w:rPr>
  </w:style>
  <w:style w:type="table" w:styleId="10">
    <w:name w:val="Table Grid"/>
    <w:basedOn w:val="9"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uiPriority w:val="0"/>
  </w:style>
  <w:style w:type="character" w:styleId="13">
    <w:name w:val="annotation reference"/>
    <w:basedOn w:val="11"/>
    <w:uiPriority w:val="0"/>
    <w:rPr>
      <w:sz w:val="21"/>
      <w:szCs w:val="21"/>
    </w:rPr>
  </w:style>
  <w:style w:type="paragraph" w:styleId="14">
    <w:name w:val="List Paragraph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character" w:customStyle="1" w:styleId="15">
    <w:name w:val="页脚 Char"/>
    <w:basedOn w:val="11"/>
    <w:link w:val="5"/>
    <w:uiPriority w:val="99"/>
    <w:rPr>
      <w:rFonts w:ascii="宋体" w:hAnsi="宋体" w:cs="宋体"/>
      <w:sz w:val="18"/>
      <w:szCs w:val="18"/>
    </w:rPr>
  </w:style>
  <w:style w:type="character" w:styleId="16">
    <w:name w:val="Placeholder Text"/>
    <w:basedOn w:val="11"/>
    <w:semiHidden/>
    <w:uiPriority w:val="99"/>
    <w:rPr>
      <w:color w:val="808080"/>
    </w:rPr>
  </w:style>
  <w:style w:type="paragraph" w:customStyle="1" w:styleId="17">
    <w:name w:val="MTDisplayEquation"/>
    <w:basedOn w:val="1"/>
    <w:next w:val="1"/>
    <w:link w:val="18"/>
    <w:uiPriority w:val="0"/>
    <w:pPr>
      <w:widowControl w:val="0"/>
      <w:tabs>
        <w:tab w:val="center" w:pos="5100"/>
        <w:tab w:val="right" w:pos="9680"/>
      </w:tabs>
      <w:spacing w:line="360" w:lineRule="auto"/>
      <w:ind w:left="516" w:leftChars="215" w:firstLine="12" w:firstLineChars="5"/>
    </w:pPr>
    <w:rPr>
      <w:rFonts w:ascii="Times New Roman" w:hAnsi="Times New Roman" w:eastAsia="楷体_GB2312"/>
      <w:position w:val="-28"/>
    </w:rPr>
  </w:style>
  <w:style w:type="character" w:customStyle="1" w:styleId="18">
    <w:name w:val="MTDisplayEquation Char"/>
    <w:basedOn w:val="11"/>
    <w:link w:val="17"/>
    <w:uiPriority w:val="0"/>
    <w:rPr>
      <w:rFonts w:eastAsia="楷体_GB2312" w:cs="宋体"/>
      <w:position w:val="-28"/>
      <w:sz w:val="24"/>
      <w:szCs w:val="24"/>
    </w:rPr>
  </w:style>
  <w:style w:type="character" w:customStyle="1" w:styleId="19">
    <w:name w:val="批注文字 Char"/>
    <w:basedOn w:val="11"/>
    <w:link w:val="2"/>
    <w:uiPriority w:val="0"/>
    <w:rPr>
      <w:rFonts w:ascii="宋体" w:hAnsi="宋体" w:cs="宋体"/>
      <w:sz w:val="24"/>
      <w:szCs w:val="24"/>
    </w:rPr>
  </w:style>
  <w:style w:type="character" w:customStyle="1" w:styleId="20">
    <w:name w:val="批注主题 Char"/>
    <w:basedOn w:val="19"/>
    <w:link w:val="8"/>
    <w:uiPriority w:val="0"/>
    <w:rPr>
      <w:rFonts w:ascii="宋体" w:hAnsi="宋体" w:cs="宋体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6.wmf"/><Relationship Id="rId14" Type="http://schemas.openxmlformats.org/officeDocument/2006/relationships/oleObject" Target="embeddings/oleObject3.bin"/><Relationship Id="rId13" Type="http://schemas.openxmlformats.org/officeDocument/2006/relationships/image" Target="media/image5.wmf"/><Relationship Id="rId12" Type="http://schemas.openxmlformats.org/officeDocument/2006/relationships/image" Target="media/image4.wmf"/><Relationship Id="rId11" Type="http://schemas.openxmlformats.org/officeDocument/2006/relationships/control" Target="activeX/activeX1.xml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FE6C5E-7A99-4D76-9924-DA5E73ECBF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4</Pages>
  <Words>906</Words>
  <Characters>501</Characters>
  <Lines>4</Lines>
  <Paragraphs>2</Paragraphs>
  <TotalTime>0</TotalTime>
  <ScaleCrop>false</ScaleCrop>
  <LinksUpToDate>false</LinksUpToDate>
  <CharactersWithSpaces>1405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2014-02-22T00:40:00Z</dcterms:created>
  <dc:creator>黄家忠</dc:creator>
  <cp:lastModifiedBy>LIL</cp:lastModifiedBy>
  <cp:lastPrinted>2017-07-24T04:16:00Z</cp:lastPrinted>
  <dcterms:modified xsi:type="dcterms:W3CDTF">2020-06-19T09:44:17Z</dcterms:modified>
  <dc:title>高效液相色谱法测定左克(盐酸左氧氟沙星注射液）含量的不确定度评估</dc:title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KSOProductBuildVer">
    <vt:lpwstr>2052-11.1.0.9740</vt:lpwstr>
  </property>
</Properties>
</file>